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98F" w:rsidRPr="00C4598F" w:rsidRDefault="00C4598F" w:rsidP="00C4598F">
      <w:pPr>
        <w:spacing w:before="100" w:beforeAutospacing="1" w:after="100" w:afterAutospacing="1" w:line="240" w:lineRule="auto"/>
        <w:rPr>
          <w:rFonts w:ascii="Times New Roman" w:eastAsia="Times New Roman" w:hAnsi="Times New Roman" w:cs="Times New Roman"/>
          <w:sz w:val="24"/>
          <w:szCs w:val="24"/>
          <w:lang w:eastAsia="fr-FR"/>
        </w:rPr>
      </w:pPr>
      <w:bookmarkStart w:id="0" w:name="_GoBack"/>
      <w:r w:rsidRPr="00C4598F">
        <w:rPr>
          <w:rFonts w:ascii="Times New Roman" w:eastAsia="Times New Roman" w:hAnsi="Times New Roman" w:cs="Times New Roman"/>
          <w:b/>
          <w:bCs/>
          <w:sz w:val="24"/>
          <w:szCs w:val="24"/>
          <w:lang w:eastAsia="fr-FR"/>
        </w:rPr>
        <w:t>Renaissance, renouveau, résurrection : stratégies discursives, mythes identitaires et perspectives politiques au Royaume-Uni depuis 1945</w:t>
      </w:r>
    </w:p>
    <w:bookmarkEnd w:id="0"/>
    <w:p w:rsidR="00C4598F" w:rsidRPr="00C4598F" w:rsidRDefault="00C4598F" w:rsidP="00C4598F">
      <w:pPr>
        <w:spacing w:before="100" w:beforeAutospacing="1" w:after="100" w:afterAutospacing="1" w:line="240" w:lineRule="auto"/>
        <w:ind w:firstLine="284"/>
        <w:jc w:val="center"/>
        <w:rPr>
          <w:rFonts w:ascii="Times New Roman" w:eastAsia="Times New Roman" w:hAnsi="Times New Roman" w:cs="Times New Roman"/>
          <w:sz w:val="24"/>
          <w:szCs w:val="24"/>
          <w:lang w:eastAsia="fr-FR"/>
        </w:rPr>
      </w:pPr>
      <w:r w:rsidRPr="00C4598F">
        <w:rPr>
          <w:rFonts w:ascii="Times New Roman" w:eastAsia="Times New Roman" w:hAnsi="Times New Roman" w:cs="Times New Roman"/>
          <w:b/>
          <w:bCs/>
          <w:color w:val="2F5496"/>
          <w:sz w:val="24"/>
          <w:szCs w:val="24"/>
          <w:lang w:eastAsia="fr-FR"/>
        </w:rPr>
        <w:t> </w:t>
      </w:r>
    </w:p>
    <w:p w:rsidR="00C4598F" w:rsidRPr="00C4598F" w:rsidRDefault="00C4598F" w:rsidP="00C4598F">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4598F">
        <w:rPr>
          <w:rFonts w:ascii="Times New Roman" w:eastAsia="Times New Roman" w:hAnsi="Times New Roman" w:cs="Times New Roman"/>
          <w:sz w:val="24"/>
          <w:szCs w:val="24"/>
          <w:lang w:eastAsia="fr-FR"/>
        </w:rPr>
        <w:t xml:space="preserve">Indissociable du concept de déclin et des discours </w:t>
      </w:r>
      <w:proofErr w:type="spellStart"/>
      <w:r w:rsidRPr="00C4598F">
        <w:rPr>
          <w:rFonts w:ascii="Times New Roman" w:eastAsia="Times New Roman" w:hAnsi="Times New Roman" w:cs="Times New Roman"/>
          <w:sz w:val="24"/>
          <w:szCs w:val="24"/>
          <w:lang w:eastAsia="fr-FR"/>
        </w:rPr>
        <w:t>déclinistes</w:t>
      </w:r>
      <w:proofErr w:type="spellEnd"/>
      <w:r w:rsidRPr="00C4598F">
        <w:rPr>
          <w:rFonts w:ascii="Times New Roman" w:eastAsia="Times New Roman" w:hAnsi="Times New Roman" w:cs="Times New Roman"/>
          <w:sz w:val="24"/>
          <w:szCs w:val="24"/>
          <w:lang w:eastAsia="fr-FR"/>
        </w:rPr>
        <w:t xml:space="preserve"> aux accents quasi-spengleriens qui ont accompagné la transition du Royaume-Uni du statut de puissance globale à celui de puissance moyenne au cours du XXe siècle, l’idée de renaissance nationale fait un retour remarqué Outre-manche dans un contexte de globalisation et plus récemment encore  à l’occasion du débat généré par la perspective d’une sortie de l’Union européenne. Depuis 2016, le thème du renouveau sature les déclarations des partisans du Brexit, qu’ils en soient les prophètes ou de récents convertis. </w:t>
      </w:r>
    </w:p>
    <w:p w:rsidR="00C4598F" w:rsidRPr="00C4598F" w:rsidRDefault="00C4598F" w:rsidP="00C4598F">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4598F">
        <w:rPr>
          <w:rFonts w:ascii="Times New Roman" w:eastAsia="Times New Roman" w:hAnsi="Times New Roman" w:cs="Times New Roman"/>
          <w:sz w:val="24"/>
          <w:szCs w:val="24"/>
          <w:lang w:eastAsia="fr-FR"/>
        </w:rPr>
        <w:t xml:space="preserve">Le discours du renouveau ne se limite toutefois pas à une simple stratégie de communication de la part d’un parti politique en quête d’une majorité plus qu’incertaine aux prochaines élections législatives, alors même que les conservateurs semblent se couper des forces vives de la nation. L’idée d’une rupture créatrice trouve un écho auprès de certains commentateurs et intellectuels publics, tels Vernon </w:t>
      </w:r>
      <w:proofErr w:type="spellStart"/>
      <w:r w:rsidRPr="00C4598F">
        <w:rPr>
          <w:rFonts w:ascii="Times New Roman" w:eastAsia="Times New Roman" w:hAnsi="Times New Roman" w:cs="Times New Roman"/>
          <w:sz w:val="24"/>
          <w:szCs w:val="24"/>
          <w:lang w:eastAsia="fr-FR"/>
        </w:rPr>
        <w:t>Bogdanor</w:t>
      </w:r>
      <w:proofErr w:type="spellEnd"/>
      <w:r w:rsidRPr="00C4598F">
        <w:rPr>
          <w:rFonts w:ascii="Times New Roman" w:eastAsia="Times New Roman" w:hAnsi="Times New Roman" w:cs="Times New Roman"/>
          <w:sz w:val="24"/>
          <w:szCs w:val="24"/>
          <w:lang w:eastAsia="fr-FR"/>
        </w:rPr>
        <w:t xml:space="preserve"> et David </w:t>
      </w:r>
      <w:proofErr w:type="spellStart"/>
      <w:r w:rsidRPr="00C4598F">
        <w:rPr>
          <w:rFonts w:ascii="Times New Roman" w:eastAsia="Times New Roman" w:hAnsi="Times New Roman" w:cs="Times New Roman"/>
          <w:sz w:val="24"/>
          <w:szCs w:val="24"/>
          <w:lang w:eastAsia="fr-FR"/>
        </w:rPr>
        <w:t>Goodhart</w:t>
      </w:r>
      <w:proofErr w:type="spellEnd"/>
      <w:r w:rsidRPr="00C4598F">
        <w:rPr>
          <w:rFonts w:ascii="Times New Roman" w:eastAsia="Times New Roman" w:hAnsi="Times New Roman" w:cs="Times New Roman"/>
          <w:sz w:val="24"/>
          <w:szCs w:val="24"/>
          <w:lang w:eastAsia="fr-FR"/>
        </w:rPr>
        <w:t xml:space="preserve"> qui voient dans le Brexit un moment fondateur, un choc salutaire annonciateur d’une seconde naissance au terme d’une gestation longue et douloureuse. </w:t>
      </w:r>
      <w:r w:rsidRPr="00C4598F">
        <w:rPr>
          <w:rFonts w:ascii="Times New Roman" w:eastAsia="Times New Roman" w:hAnsi="Times New Roman" w:cs="Times New Roman"/>
          <w:i/>
          <w:iCs/>
          <w:sz w:val="24"/>
          <w:szCs w:val="24"/>
          <w:lang w:eastAsia="fr-FR"/>
        </w:rPr>
        <w:t>A contrario</w:t>
      </w:r>
      <w:r w:rsidRPr="00C4598F">
        <w:rPr>
          <w:rFonts w:ascii="Times New Roman" w:eastAsia="Times New Roman" w:hAnsi="Times New Roman" w:cs="Times New Roman"/>
          <w:sz w:val="24"/>
          <w:szCs w:val="24"/>
          <w:lang w:eastAsia="fr-FR"/>
        </w:rPr>
        <w:t xml:space="preserve">, d’autres auteurs préfèrent souligner la contradiction qu’ils perçoivent entre l’essoufflement d’une pensée conservatrice impuissante à se renouveler et à dépasser l’horizon de la « révolution » thatchérienne, Andy Beckett reprend notamment la formule de Katy </w:t>
      </w:r>
      <w:proofErr w:type="spellStart"/>
      <w:r w:rsidRPr="00C4598F">
        <w:rPr>
          <w:rFonts w:ascii="Times New Roman" w:eastAsia="Times New Roman" w:hAnsi="Times New Roman" w:cs="Times New Roman"/>
          <w:sz w:val="24"/>
          <w:szCs w:val="24"/>
          <w:lang w:eastAsia="fr-FR"/>
        </w:rPr>
        <w:t>Balls</w:t>
      </w:r>
      <w:proofErr w:type="spellEnd"/>
      <w:r w:rsidRPr="00C4598F">
        <w:rPr>
          <w:rFonts w:ascii="Times New Roman" w:eastAsia="Times New Roman" w:hAnsi="Times New Roman" w:cs="Times New Roman"/>
          <w:sz w:val="24"/>
          <w:szCs w:val="24"/>
          <w:lang w:eastAsia="fr-FR"/>
        </w:rPr>
        <w:t xml:space="preserve"> qui qualifie le parti conservateur de parti zombie (« A ‘zombie party’ : the </w:t>
      </w:r>
      <w:proofErr w:type="spellStart"/>
      <w:r w:rsidRPr="00C4598F">
        <w:rPr>
          <w:rFonts w:ascii="Times New Roman" w:eastAsia="Times New Roman" w:hAnsi="Times New Roman" w:cs="Times New Roman"/>
          <w:sz w:val="24"/>
          <w:szCs w:val="24"/>
          <w:lang w:eastAsia="fr-FR"/>
        </w:rPr>
        <w:t>deepening</w:t>
      </w:r>
      <w:proofErr w:type="spellEnd"/>
      <w:r w:rsidRPr="00C4598F">
        <w:rPr>
          <w:rFonts w:ascii="Times New Roman" w:eastAsia="Times New Roman" w:hAnsi="Times New Roman" w:cs="Times New Roman"/>
          <w:sz w:val="24"/>
          <w:szCs w:val="24"/>
          <w:lang w:eastAsia="fr-FR"/>
        </w:rPr>
        <w:t xml:space="preserve"> </w:t>
      </w:r>
      <w:proofErr w:type="spellStart"/>
      <w:r w:rsidRPr="00C4598F">
        <w:rPr>
          <w:rFonts w:ascii="Times New Roman" w:eastAsia="Times New Roman" w:hAnsi="Times New Roman" w:cs="Times New Roman"/>
          <w:sz w:val="24"/>
          <w:szCs w:val="24"/>
          <w:lang w:eastAsia="fr-FR"/>
        </w:rPr>
        <w:t>crisis</w:t>
      </w:r>
      <w:proofErr w:type="spellEnd"/>
      <w:r w:rsidRPr="00C4598F">
        <w:rPr>
          <w:rFonts w:ascii="Times New Roman" w:eastAsia="Times New Roman" w:hAnsi="Times New Roman" w:cs="Times New Roman"/>
          <w:sz w:val="24"/>
          <w:szCs w:val="24"/>
          <w:lang w:eastAsia="fr-FR"/>
        </w:rPr>
        <w:t xml:space="preserve"> of </w:t>
      </w:r>
      <w:proofErr w:type="spellStart"/>
      <w:r w:rsidRPr="00C4598F">
        <w:rPr>
          <w:rFonts w:ascii="Times New Roman" w:eastAsia="Times New Roman" w:hAnsi="Times New Roman" w:cs="Times New Roman"/>
          <w:sz w:val="24"/>
          <w:szCs w:val="24"/>
          <w:lang w:eastAsia="fr-FR"/>
        </w:rPr>
        <w:t>conservatism</w:t>
      </w:r>
      <w:proofErr w:type="spellEnd"/>
      <w:r w:rsidRPr="00C4598F">
        <w:rPr>
          <w:rFonts w:ascii="Times New Roman" w:eastAsia="Times New Roman" w:hAnsi="Times New Roman" w:cs="Times New Roman"/>
          <w:sz w:val="24"/>
          <w:szCs w:val="24"/>
          <w:lang w:eastAsia="fr-FR"/>
        </w:rPr>
        <w:t xml:space="preserve"> », </w:t>
      </w:r>
      <w:r w:rsidRPr="00C4598F">
        <w:rPr>
          <w:rFonts w:ascii="Times New Roman" w:eastAsia="Times New Roman" w:hAnsi="Times New Roman" w:cs="Times New Roman"/>
          <w:i/>
          <w:iCs/>
          <w:sz w:val="24"/>
          <w:szCs w:val="24"/>
          <w:lang w:eastAsia="fr-FR"/>
        </w:rPr>
        <w:t>The Guardian</w:t>
      </w:r>
      <w:r w:rsidRPr="00C4598F">
        <w:rPr>
          <w:rFonts w:ascii="Times New Roman" w:eastAsia="Times New Roman" w:hAnsi="Times New Roman" w:cs="Times New Roman"/>
          <w:sz w:val="24"/>
          <w:szCs w:val="24"/>
          <w:lang w:eastAsia="fr-FR"/>
        </w:rPr>
        <w:t xml:space="preserve">, 28 May 2019), et la promesse d’un nouvel élan national. Le discours du renouveau devient posture, « performative </w:t>
      </w:r>
      <w:proofErr w:type="spellStart"/>
      <w:r w:rsidRPr="00C4598F">
        <w:rPr>
          <w:rFonts w:ascii="Times New Roman" w:eastAsia="Times New Roman" w:hAnsi="Times New Roman" w:cs="Times New Roman"/>
          <w:sz w:val="24"/>
          <w:szCs w:val="24"/>
          <w:lang w:eastAsia="fr-FR"/>
        </w:rPr>
        <w:t>rather</w:t>
      </w:r>
      <w:proofErr w:type="spellEnd"/>
      <w:r w:rsidRPr="00C4598F">
        <w:rPr>
          <w:rFonts w:ascii="Times New Roman" w:eastAsia="Times New Roman" w:hAnsi="Times New Roman" w:cs="Times New Roman"/>
          <w:sz w:val="24"/>
          <w:szCs w:val="24"/>
          <w:lang w:eastAsia="fr-FR"/>
        </w:rPr>
        <w:t xml:space="preserve"> </w:t>
      </w:r>
      <w:proofErr w:type="spellStart"/>
      <w:r w:rsidRPr="00C4598F">
        <w:rPr>
          <w:rFonts w:ascii="Times New Roman" w:eastAsia="Times New Roman" w:hAnsi="Times New Roman" w:cs="Times New Roman"/>
          <w:sz w:val="24"/>
          <w:szCs w:val="24"/>
          <w:lang w:eastAsia="fr-FR"/>
        </w:rPr>
        <w:t>than</w:t>
      </w:r>
      <w:proofErr w:type="spellEnd"/>
      <w:r w:rsidRPr="00C4598F">
        <w:rPr>
          <w:rFonts w:ascii="Times New Roman" w:eastAsia="Times New Roman" w:hAnsi="Times New Roman" w:cs="Times New Roman"/>
          <w:sz w:val="24"/>
          <w:szCs w:val="24"/>
          <w:lang w:eastAsia="fr-FR"/>
        </w:rPr>
        <w:t xml:space="preserve"> </w:t>
      </w:r>
      <w:proofErr w:type="spellStart"/>
      <w:r w:rsidRPr="00C4598F">
        <w:rPr>
          <w:rFonts w:ascii="Times New Roman" w:eastAsia="Times New Roman" w:hAnsi="Times New Roman" w:cs="Times New Roman"/>
          <w:sz w:val="24"/>
          <w:szCs w:val="24"/>
          <w:lang w:eastAsia="fr-FR"/>
        </w:rPr>
        <w:t>practical</w:t>
      </w:r>
      <w:proofErr w:type="spellEnd"/>
      <w:r w:rsidRPr="00C4598F">
        <w:rPr>
          <w:rFonts w:ascii="Times New Roman" w:eastAsia="Times New Roman" w:hAnsi="Times New Roman" w:cs="Times New Roman"/>
          <w:sz w:val="24"/>
          <w:szCs w:val="24"/>
          <w:lang w:eastAsia="fr-FR"/>
        </w:rPr>
        <w:t xml:space="preserve"> » pour citer Beckett. </w:t>
      </w:r>
    </w:p>
    <w:p w:rsidR="00C4598F" w:rsidRPr="00C4598F" w:rsidRDefault="00C4598F" w:rsidP="00C4598F">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4598F">
        <w:rPr>
          <w:rFonts w:ascii="Times New Roman" w:eastAsia="Times New Roman" w:hAnsi="Times New Roman" w:cs="Times New Roman"/>
          <w:sz w:val="24"/>
          <w:szCs w:val="24"/>
          <w:lang w:eastAsia="fr-FR"/>
        </w:rPr>
        <w:t>Il reste que le Brexit a été l’occasion d’une réaffirmation identitaire qui s’inscrit dans le cadre d’une conception cyclique de l’histoire où dialoguent les deux polarités du déclin et du renouveau. Ce tandem conceptuel domine le récit historique du long XXe siècle, des heures sombres (</w:t>
      </w:r>
      <w:proofErr w:type="spellStart"/>
      <w:r w:rsidRPr="00C4598F">
        <w:rPr>
          <w:rFonts w:ascii="Times New Roman" w:eastAsia="Times New Roman" w:hAnsi="Times New Roman" w:cs="Times New Roman"/>
          <w:sz w:val="24"/>
          <w:szCs w:val="24"/>
          <w:lang w:eastAsia="fr-FR"/>
        </w:rPr>
        <w:t>Darkest</w:t>
      </w:r>
      <w:proofErr w:type="spellEnd"/>
      <w:r w:rsidRPr="00C4598F">
        <w:rPr>
          <w:rFonts w:ascii="Times New Roman" w:eastAsia="Times New Roman" w:hAnsi="Times New Roman" w:cs="Times New Roman"/>
          <w:sz w:val="24"/>
          <w:szCs w:val="24"/>
          <w:lang w:eastAsia="fr-FR"/>
        </w:rPr>
        <w:t xml:space="preserve"> </w:t>
      </w:r>
      <w:proofErr w:type="spellStart"/>
      <w:r w:rsidRPr="00C4598F">
        <w:rPr>
          <w:rFonts w:ascii="Times New Roman" w:eastAsia="Times New Roman" w:hAnsi="Times New Roman" w:cs="Times New Roman"/>
          <w:sz w:val="24"/>
          <w:szCs w:val="24"/>
          <w:lang w:eastAsia="fr-FR"/>
        </w:rPr>
        <w:t>Hour</w:t>
      </w:r>
      <w:proofErr w:type="spellEnd"/>
      <w:r w:rsidRPr="00C4598F">
        <w:rPr>
          <w:rFonts w:ascii="Times New Roman" w:eastAsia="Times New Roman" w:hAnsi="Times New Roman" w:cs="Times New Roman"/>
          <w:sz w:val="24"/>
          <w:szCs w:val="24"/>
          <w:lang w:eastAsia="fr-FR"/>
        </w:rPr>
        <w:t>) de l’histoire nationale aux multiples répliques annoncées de son heure de gloire (</w:t>
      </w:r>
      <w:proofErr w:type="spellStart"/>
      <w:r w:rsidRPr="00C4598F">
        <w:rPr>
          <w:rFonts w:ascii="Times New Roman" w:eastAsia="Times New Roman" w:hAnsi="Times New Roman" w:cs="Times New Roman"/>
          <w:sz w:val="24"/>
          <w:szCs w:val="24"/>
          <w:lang w:eastAsia="fr-FR"/>
        </w:rPr>
        <w:t>Finest</w:t>
      </w:r>
      <w:proofErr w:type="spellEnd"/>
      <w:r w:rsidRPr="00C4598F">
        <w:rPr>
          <w:rFonts w:ascii="Times New Roman" w:eastAsia="Times New Roman" w:hAnsi="Times New Roman" w:cs="Times New Roman"/>
          <w:sz w:val="24"/>
          <w:szCs w:val="24"/>
          <w:lang w:eastAsia="fr-FR"/>
        </w:rPr>
        <w:t xml:space="preserve"> </w:t>
      </w:r>
      <w:proofErr w:type="spellStart"/>
      <w:r w:rsidRPr="00C4598F">
        <w:rPr>
          <w:rFonts w:ascii="Times New Roman" w:eastAsia="Times New Roman" w:hAnsi="Times New Roman" w:cs="Times New Roman"/>
          <w:sz w:val="24"/>
          <w:szCs w:val="24"/>
          <w:lang w:eastAsia="fr-FR"/>
        </w:rPr>
        <w:t>Hour</w:t>
      </w:r>
      <w:proofErr w:type="spellEnd"/>
      <w:r w:rsidRPr="00C4598F">
        <w:rPr>
          <w:rFonts w:ascii="Times New Roman" w:eastAsia="Times New Roman" w:hAnsi="Times New Roman" w:cs="Times New Roman"/>
          <w:sz w:val="24"/>
          <w:szCs w:val="24"/>
          <w:lang w:eastAsia="fr-FR"/>
        </w:rPr>
        <w:t>). Il structure également quelques grands discours de la seconde moitié du siècle : pour ne citer que ces deux exemples canoniques, l’évocation par Harold Wilson d’une Grande-Bretagne « chauffée à blanc » par le miracle de la révolution technologique dans le discours de Scarborough en 1963, ou bien l’image d’une nation ressuscitée qui a renoué les fils distendus d’une histoire désarticulée dans le discours de Margaret Thatcher à Cheltenham en juillet 1982. Dans les deux cas, la puissance évocatrice et la charge émotionnelle de l’idée de renouveau, riche de la promesse d’un nouvel élan vital, sont convoquées en réponse au risque d’effacement (</w:t>
      </w:r>
      <w:proofErr w:type="spellStart"/>
      <w:r w:rsidRPr="00C4598F">
        <w:rPr>
          <w:rFonts w:ascii="Times New Roman" w:eastAsia="Times New Roman" w:hAnsi="Times New Roman" w:cs="Times New Roman"/>
          <w:i/>
          <w:iCs/>
          <w:sz w:val="24"/>
          <w:szCs w:val="24"/>
          <w:lang w:eastAsia="fr-FR"/>
        </w:rPr>
        <w:t>irrelevance</w:t>
      </w:r>
      <w:proofErr w:type="spellEnd"/>
      <w:r w:rsidRPr="00C4598F">
        <w:rPr>
          <w:rFonts w:ascii="Times New Roman" w:eastAsia="Times New Roman" w:hAnsi="Times New Roman" w:cs="Times New Roman"/>
          <w:sz w:val="24"/>
          <w:szCs w:val="24"/>
          <w:lang w:eastAsia="fr-FR"/>
        </w:rPr>
        <w:t xml:space="preserve">) qui menace un pays en déclin. </w:t>
      </w:r>
    </w:p>
    <w:p w:rsidR="00C4598F" w:rsidRPr="00C4598F" w:rsidRDefault="00C4598F" w:rsidP="00C4598F">
      <w:pPr>
        <w:shd w:val="clear" w:color="auto" w:fill="FFFFFF"/>
        <w:spacing w:after="263" w:line="300" w:lineRule="atLeast"/>
        <w:jc w:val="both"/>
        <w:outlineLvl w:val="0"/>
        <w:rPr>
          <w:rFonts w:ascii="Times New Roman" w:eastAsia="Times New Roman" w:hAnsi="Times New Roman" w:cs="Times New Roman"/>
          <w:b/>
          <w:bCs/>
          <w:kern w:val="36"/>
          <w:sz w:val="48"/>
          <w:szCs w:val="48"/>
          <w:lang w:eastAsia="fr-FR"/>
        </w:rPr>
      </w:pPr>
      <w:r w:rsidRPr="00C4598F">
        <w:rPr>
          <w:rFonts w:ascii="Calibri" w:eastAsia="Times New Roman" w:hAnsi="Calibri" w:cs="Calibri"/>
          <w:color w:val="000000"/>
          <w:kern w:val="36"/>
          <w:lang w:eastAsia="fr-FR"/>
        </w:rPr>
        <w:t xml:space="preserve">Prisme d’analyse privilégié des sciences humaines et sociales, le dialogue déclin-renouveau est également régulièrement convoqué pour appréhender le changement. La thèse du déclin économique et industriel du Royaume-Uni constitue indéniablement l’un des lieux communs d’une certaine historiographie de l’après-guerre, dont l’auteur le plus emblématique est probablement Corelli Barnett. A partir des années 80, sous l’effet d’un glissement sémantique, l’idée de déclin évolue vers une forme de panique identitaire qui s’exprime notamment par le biais de l’euroscepticisme et trouve un point d’orgue avec le débat sur le Brexit. Tout comme leur corollaire, le mythe de l’Age d’Or, les discours </w:t>
      </w:r>
      <w:proofErr w:type="spellStart"/>
      <w:r w:rsidRPr="00C4598F">
        <w:rPr>
          <w:rFonts w:ascii="Calibri" w:eastAsia="Times New Roman" w:hAnsi="Calibri" w:cs="Calibri"/>
          <w:color w:val="000000"/>
          <w:kern w:val="36"/>
          <w:lang w:eastAsia="fr-FR"/>
        </w:rPr>
        <w:t>déclinistes</w:t>
      </w:r>
      <w:proofErr w:type="spellEnd"/>
      <w:r w:rsidRPr="00C4598F">
        <w:rPr>
          <w:rFonts w:ascii="Calibri" w:eastAsia="Times New Roman" w:hAnsi="Calibri" w:cs="Calibri"/>
          <w:color w:val="000000"/>
          <w:kern w:val="36"/>
          <w:lang w:eastAsia="fr-FR"/>
        </w:rPr>
        <w:t xml:space="preserve"> et les stratégies discursives qui représentent le réel et fabriquent un savoir ont fait l’objet d’une entreprise de déconstruction et de contestation de la part de nombreux auteurs tels </w:t>
      </w:r>
      <w:r w:rsidRPr="00C4598F">
        <w:rPr>
          <w:rFonts w:ascii="Calibri" w:eastAsia="Times New Roman" w:hAnsi="Calibri" w:cs="Calibri"/>
          <w:color w:val="000000"/>
          <w:kern w:val="36"/>
          <w:lang w:eastAsia="fr-FR"/>
        </w:rPr>
        <w:lastRenderedPageBreak/>
        <w:t>Bruce Collins et Keith Robbins, Jim Tomlinson</w:t>
      </w:r>
      <w:r w:rsidRPr="00C4598F">
        <w:rPr>
          <w:rFonts w:ascii="Calibri" w:eastAsia="Times New Roman" w:hAnsi="Calibri" w:cs="Calibri"/>
          <w:color w:val="333333"/>
          <w:kern w:val="36"/>
          <w:lang w:eastAsia="fr-FR"/>
        </w:rPr>
        <w:t xml:space="preserve">, </w:t>
      </w:r>
      <w:r w:rsidRPr="00C4598F">
        <w:rPr>
          <w:rFonts w:ascii="Calibri" w:eastAsia="Times New Roman" w:hAnsi="Calibri" w:cs="Calibri"/>
          <w:color w:val="000000"/>
          <w:kern w:val="36"/>
          <w:lang w:eastAsia="fr-FR"/>
        </w:rPr>
        <w:t xml:space="preserve">Richard English et Michael Kenny, ou bien encore Lawrence Black et Hugh </w:t>
      </w:r>
      <w:proofErr w:type="spellStart"/>
      <w:r w:rsidRPr="00C4598F">
        <w:rPr>
          <w:rFonts w:ascii="Calibri" w:eastAsia="Times New Roman" w:hAnsi="Calibri" w:cs="Calibri"/>
          <w:color w:val="000000"/>
          <w:kern w:val="36"/>
          <w:lang w:eastAsia="fr-FR"/>
        </w:rPr>
        <w:t>Pemberton</w:t>
      </w:r>
      <w:proofErr w:type="spellEnd"/>
      <w:r w:rsidRPr="00C4598F">
        <w:rPr>
          <w:rFonts w:ascii="Calibri" w:eastAsia="Times New Roman" w:hAnsi="Calibri" w:cs="Calibri"/>
          <w:color w:val="000000"/>
          <w:kern w:val="36"/>
          <w:lang w:eastAsia="fr-FR"/>
        </w:rPr>
        <w:t>. Le thème du 60</w:t>
      </w:r>
      <w:r w:rsidRPr="00C4598F">
        <w:rPr>
          <w:rFonts w:ascii="Calibri" w:eastAsia="Times New Roman" w:hAnsi="Calibri" w:cs="Calibri"/>
          <w:color w:val="000000"/>
          <w:kern w:val="36"/>
          <w:vertAlign w:val="superscript"/>
          <w:lang w:eastAsia="fr-FR"/>
        </w:rPr>
        <w:t>e</w:t>
      </w:r>
      <w:r w:rsidRPr="00C4598F">
        <w:rPr>
          <w:rFonts w:ascii="Calibri" w:eastAsia="Times New Roman" w:hAnsi="Calibri" w:cs="Calibri"/>
          <w:color w:val="000000"/>
          <w:kern w:val="36"/>
          <w:lang w:eastAsia="fr-FR"/>
        </w:rPr>
        <w:t xml:space="preserve"> congrès de la SAES est l’occasion de s’intéresser à nouveau à ces concepts politisés qui déploient toute une mythologie au service d’une idéologie, en privilégiant l’étude de la face inversée du miroir </w:t>
      </w:r>
      <w:proofErr w:type="spellStart"/>
      <w:r w:rsidRPr="00C4598F">
        <w:rPr>
          <w:rFonts w:ascii="Calibri" w:eastAsia="Times New Roman" w:hAnsi="Calibri" w:cs="Calibri"/>
          <w:color w:val="000000"/>
          <w:kern w:val="36"/>
          <w:lang w:eastAsia="fr-FR"/>
        </w:rPr>
        <w:t>décliniste</w:t>
      </w:r>
      <w:proofErr w:type="spellEnd"/>
      <w:r w:rsidRPr="00C4598F">
        <w:rPr>
          <w:rFonts w:ascii="Calibri" w:eastAsia="Times New Roman" w:hAnsi="Calibri" w:cs="Calibri"/>
          <w:color w:val="000000"/>
          <w:kern w:val="36"/>
          <w:lang w:eastAsia="fr-FR"/>
        </w:rPr>
        <w:t xml:space="preserve">, l’idée de renaissance, ainsi que les politiques et les imaginaires qui y sont associés.  </w:t>
      </w:r>
    </w:p>
    <w:p w:rsidR="00C4598F" w:rsidRPr="00C4598F" w:rsidRDefault="00C4598F" w:rsidP="00C4598F">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4598F">
        <w:rPr>
          <w:rFonts w:ascii="Times New Roman" w:eastAsia="Times New Roman" w:hAnsi="Times New Roman" w:cs="Times New Roman"/>
          <w:sz w:val="24"/>
          <w:szCs w:val="24"/>
          <w:lang w:eastAsia="fr-FR"/>
        </w:rPr>
        <w:t xml:space="preserve">Les propositions de communication en français ou en anglais pourront concerner les thèmes suivants (sans s’y limiter) : </w:t>
      </w:r>
    </w:p>
    <w:p w:rsidR="00C4598F" w:rsidRPr="00C4598F" w:rsidRDefault="00C4598F" w:rsidP="00C4598F">
      <w:pPr>
        <w:numPr>
          <w:ilvl w:val="0"/>
          <w:numId w:val="1"/>
        </w:numPr>
        <w:spacing w:before="100" w:beforeAutospacing="1" w:after="100" w:afterAutospacing="1" w:line="240" w:lineRule="auto"/>
        <w:ind w:left="644"/>
        <w:contextualSpacing/>
        <w:jc w:val="both"/>
        <w:rPr>
          <w:rFonts w:ascii="Times New Roman" w:eastAsia="Times New Roman" w:hAnsi="Times New Roman" w:cs="Times New Roman"/>
          <w:sz w:val="24"/>
          <w:szCs w:val="24"/>
          <w:lang w:eastAsia="fr-FR"/>
        </w:rPr>
      </w:pPr>
      <w:r w:rsidRPr="00C4598F">
        <w:rPr>
          <w:rFonts w:ascii="Times New Roman" w:eastAsia="Times New Roman" w:hAnsi="Times New Roman" w:cs="Times New Roman"/>
          <w:sz w:val="24"/>
          <w:szCs w:val="24"/>
          <w:lang w:eastAsia="fr-FR"/>
        </w:rPr>
        <w:t>Déclin et renouveau, pour une analyse du discours populiste</w:t>
      </w:r>
    </w:p>
    <w:p w:rsidR="00C4598F" w:rsidRPr="00C4598F" w:rsidRDefault="00C4598F" w:rsidP="00C4598F">
      <w:pPr>
        <w:numPr>
          <w:ilvl w:val="0"/>
          <w:numId w:val="1"/>
        </w:numPr>
        <w:spacing w:before="100" w:beforeAutospacing="1" w:after="100" w:afterAutospacing="1" w:line="240" w:lineRule="auto"/>
        <w:ind w:left="644"/>
        <w:contextualSpacing/>
        <w:jc w:val="both"/>
        <w:rPr>
          <w:rFonts w:ascii="Times New Roman" w:eastAsia="Times New Roman" w:hAnsi="Times New Roman" w:cs="Times New Roman"/>
          <w:sz w:val="24"/>
          <w:szCs w:val="24"/>
          <w:lang w:eastAsia="fr-FR"/>
        </w:rPr>
      </w:pPr>
      <w:r w:rsidRPr="00C4598F">
        <w:rPr>
          <w:rFonts w:ascii="Times New Roman" w:eastAsia="Times New Roman" w:hAnsi="Times New Roman" w:cs="Times New Roman"/>
          <w:sz w:val="24"/>
          <w:szCs w:val="24"/>
          <w:lang w:eastAsia="fr-FR"/>
        </w:rPr>
        <w:t>L’idée de renaissance, un retour aux sources de la vitalité (nationale)</w:t>
      </w:r>
    </w:p>
    <w:p w:rsidR="00C4598F" w:rsidRPr="00C4598F" w:rsidRDefault="00C4598F" w:rsidP="00C4598F">
      <w:pPr>
        <w:numPr>
          <w:ilvl w:val="0"/>
          <w:numId w:val="1"/>
        </w:numPr>
        <w:spacing w:before="100" w:beforeAutospacing="1" w:after="100" w:afterAutospacing="1" w:line="240" w:lineRule="auto"/>
        <w:ind w:left="644"/>
        <w:contextualSpacing/>
        <w:jc w:val="both"/>
        <w:rPr>
          <w:rFonts w:ascii="Times New Roman" w:eastAsia="Times New Roman" w:hAnsi="Times New Roman" w:cs="Times New Roman"/>
          <w:sz w:val="24"/>
          <w:szCs w:val="24"/>
          <w:lang w:eastAsia="fr-FR"/>
        </w:rPr>
      </w:pPr>
      <w:r w:rsidRPr="00C4598F">
        <w:rPr>
          <w:rFonts w:ascii="Times New Roman" w:eastAsia="Times New Roman" w:hAnsi="Times New Roman" w:cs="Times New Roman"/>
          <w:sz w:val="24"/>
          <w:szCs w:val="24"/>
          <w:lang w:eastAsia="fr-FR"/>
        </w:rPr>
        <w:t>Miracle ou mirages du renouveau, pour une évaluation des perspectives</w:t>
      </w:r>
    </w:p>
    <w:p w:rsidR="00C4598F" w:rsidRPr="00C4598F" w:rsidRDefault="00C4598F" w:rsidP="00C4598F">
      <w:pPr>
        <w:numPr>
          <w:ilvl w:val="0"/>
          <w:numId w:val="1"/>
        </w:numPr>
        <w:spacing w:before="100" w:beforeAutospacing="1" w:after="100" w:afterAutospacing="1" w:line="240" w:lineRule="auto"/>
        <w:ind w:left="644"/>
        <w:contextualSpacing/>
        <w:jc w:val="both"/>
        <w:rPr>
          <w:rFonts w:ascii="Times New Roman" w:eastAsia="Times New Roman" w:hAnsi="Times New Roman" w:cs="Times New Roman"/>
          <w:sz w:val="24"/>
          <w:szCs w:val="24"/>
          <w:lang w:eastAsia="fr-FR"/>
        </w:rPr>
      </w:pPr>
      <w:r w:rsidRPr="00C4598F">
        <w:rPr>
          <w:rFonts w:ascii="Times New Roman" w:eastAsia="Times New Roman" w:hAnsi="Times New Roman" w:cs="Times New Roman"/>
          <w:sz w:val="24"/>
          <w:szCs w:val="24"/>
          <w:lang w:eastAsia="fr-FR"/>
        </w:rPr>
        <w:t>Discours du renouveau, discours de crise</w:t>
      </w:r>
    </w:p>
    <w:p w:rsidR="00C4598F" w:rsidRPr="00C4598F" w:rsidRDefault="00C4598F" w:rsidP="00C4598F">
      <w:pPr>
        <w:numPr>
          <w:ilvl w:val="0"/>
          <w:numId w:val="1"/>
        </w:numPr>
        <w:spacing w:before="100" w:beforeAutospacing="1" w:after="100" w:afterAutospacing="1" w:line="240" w:lineRule="auto"/>
        <w:ind w:left="644"/>
        <w:contextualSpacing/>
        <w:jc w:val="both"/>
        <w:rPr>
          <w:rFonts w:ascii="Times New Roman" w:eastAsia="Times New Roman" w:hAnsi="Times New Roman" w:cs="Times New Roman"/>
          <w:sz w:val="24"/>
          <w:szCs w:val="24"/>
          <w:lang w:eastAsia="fr-FR"/>
        </w:rPr>
      </w:pPr>
      <w:r w:rsidRPr="00C4598F">
        <w:rPr>
          <w:rFonts w:ascii="Times New Roman" w:eastAsia="Times New Roman" w:hAnsi="Times New Roman" w:cs="Times New Roman"/>
          <w:sz w:val="24"/>
          <w:szCs w:val="24"/>
          <w:lang w:eastAsia="fr-FR"/>
        </w:rPr>
        <w:t>Déclin et renouveau, schéma interprétatif, concepts politisés</w:t>
      </w:r>
    </w:p>
    <w:p w:rsidR="00C4598F" w:rsidRPr="00C4598F" w:rsidRDefault="00C4598F" w:rsidP="00C4598F">
      <w:pPr>
        <w:numPr>
          <w:ilvl w:val="0"/>
          <w:numId w:val="1"/>
        </w:numPr>
        <w:spacing w:before="100" w:beforeAutospacing="1" w:after="100" w:afterAutospacing="1" w:line="240" w:lineRule="auto"/>
        <w:ind w:left="644"/>
        <w:contextualSpacing/>
        <w:jc w:val="both"/>
        <w:rPr>
          <w:rFonts w:ascii="Times New Roman" w:eastAsia="Times New Roman" w:hAnsi="Times New Roman" w:cs="Times New Roman"/>
          <w:sz w:val="24"/>
          <w:szCs w:val="24"/>
          <w:lang w:eastAsia="fr-FR"/>
        </w:rPr>
      </w:pPr>
      <w:r w:rsidRPr="00C4598F">
        <w:rPr>
          <w:rFonts w:ascii="Times New Roman" w:eastAsia="Times New Roman" w:hAnsi="Times New Roman" w:cs="Times New Roman"/>
          <w:sz w:val="24"/>
          <w:szCs w:val="24"/>
          <w:lang w:eastAsia="fr-FR"/>
        </w:rPr>
        <w:t>Les canaux de diffusion, outils de la fabrication d’un discours dominant</w:t>
      </w:r>
    </w:p>
    <w:p w:rsidR="00C4598F" w:rsidRPr="00C4598F" w:rsidRDefault="00C4598F" w:rsidP="00C4598F">
      <w:pPr>
        <w:numPr>
          <w:ilvl w:val="0"/>
          <w:numId w:val="1"/>
        </w:numPr>
        <w:spacing w:before="100" w:beforeAutospacing="1" w:after="100" w:afterAutospacing="1" w:line="240" w:lineRule="auto"/>
        <w:ind w:left="644"/>
        <w:contextualSpacing/>
        <w:jc w:val="both"/>
        <w:rPr>
          <w:rFonts w:ascii="Times New Roman" w:eastAsia="Times New Roman" w:hAnsi="Times New Roman" w:cs="Times New Roman"/>
          <w:sz w:val="24"/>
          <w:szCs w:val="24"/>
          <w:lang w:eastAsia="fr-FR"/>
        </w:rPr>
      </w:pPr>
      <w:r w:rsidRPr="00C4598F">
        <w:rPr>
          <w:rFonts w:ascii="Times New Roman" w:eastAsia="Times New Roman" w:hAnsi="Times New Roman" w:cs="Times New Roman"/>
          <w:sz w:val="24"/>
          <w:szCs w:val="24"/>
          <w:lang w:eastAsia="fr-FR"/>
        </w:rPr>
        <w:t>Déclin et renouveau, les émotions en politique</w:t>
      </w:r>
    </w:p>
    <w:p w:rsidR="00C4598F" w:rsidRPr="00C4598F" w:rsidRDefault="00C4598F" w:rsidP="00C4598F">
      <w:pPr>
        <w:spacing w:before="100" w:beforeAutospacing="1" w:after="100" w:afterAutospacing="1" w:line="240" w:lineRule="auto"/>
        <w:ind w:firstLine="284"/>
        <w:jc w:val="both"/>
        <w:rPr>
          <w:rFonts w:ascii="Times New Roman" w:eastAsia="Times New Roman" w:hAnsi="Times New Roman" w:cs="Times New Roman"/>
          <w:sz w:val="24"/>
          <w:szCs w:val="24"/>
          <w:lang w:eastAsia="fr-FR"/>
        </w:rPr>
      </w:pPr>
      <w:r w:rsidRPr="00C4598F">
        <w:rPr>
          <w:rFonts w:ascii="Times New Roman" w:eastAsia="Times New Roman" w:hAnsi="Times New Roman" w:cs="Times New Roman"/>
          <w:sz w:val="24"/>
          <w:szCs w:val="24"/>
          <w:lang w:eastAsia="fr-FR"/>
        </w:rPr>
        <w:t> </w:t>
      </w:r>
    </w:p>
    <w:p w:rsidR="00C4598F" w:rsidRPr="00C4598F" w:rsidRDefault="00C4598F" w:rsidP="00C4598F">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4598F">
        <w:rPr>
          <w:rFonts w:ascii="Times New Roman" w:eastAsia="Times New Roman" w:hAnsi="Times New Roman" w:cs="Times New Roman"/>
          <w:sz w:val="24"/>
          <w:szCs w:val="24"/>
          <w:lang w:eastAsia="fr-FR"/>
        </w:rPr>
        <w:t>Les propositions de communication sont à adresser à Valérie André (</w:t>
      </w:r>
      <w:hyperlink r:id="rId5" w:history="1">
        <w:r w:rsidRPr="00C4598F">
          <w:rPr>
            <w:rFonts w:ascii="Times New Roman" w:eastAsia="Times New Roman" w:hAnsi="Times New Roman" w:cs="Times New Roman"/>
            <w:color w:val="0000FF"/>
            <w:sz w:val="24"/>
            <w:szCs w:val="24"/>
            <w:u w:val="single"/>
            <w:lang w:eastAsia="fr-FR"/>
          </w:rPr>
          <w:t>valerie.andre@univ-amu.fr</w:t>
        </w:r>
      </w:hyperlink>
      <w:r w:rsidRPr="00C4598F">
        <w:rPr>
          <w:rFonts w:ascii="Times New Roman" w:eastAsia="Times New Roman" w:hAnsi="Times New Roman" w:cs="Times New Roman"/>
          <w:sz w:val="24"/>
          <w:szCs w:val="24"/>
          <w:lang w:eastAsia="fr-FR"/>
        </w:rPr>
        <w:t>) et Gilles Leydier (</w:t>
      </w:r>
      <w:hyperlink r:id="rId6" w:history="1">
        <w:r w:rsidRPr="00C4598F">
          <w:rPr>
            <w:rFonts w:ascii="Times New Roman" w:eastAsia="Times New Roman" w:hAnsi="Times New Roman" w:cs="Times New Roman"/>
            <w:color w:val="0000FF"/>
            <w:sz w:val="24"/>
            <w:szCs w:val="24"/>
            <w:u w:val="single"/>
            <w:lang w:eastAsia="fr-FR"/>
          </w:rPr>
          <w:t>gilles.leydier@free.fr</w:t>
        </w:r>
      </w:hyperlink>
      <w:r w:rsidRPr="00C4598F">
        <w:rPr>
          <w:rFonts w:ascii="Times New Roman" w:eastAsia="Times New Roman" w:hAnsi="Times New Roman" w:cs="Times New Roman"/>
          <w:sz w:val="24"/>
          <w:szCs w:val="24"/>
          <w:lang w:eastAsia="fr-FR"/>
        </w:rPr>
        <w:t>) pour le 1</w:t>
      </w:r>
      <w:r w:rsidRPr="00C4598F">
        <w:rPr>
          <w:rFonts w:ascii="Times New Roman" w:eastAsia="Times New Roman" w:hAnsi="Times New Roman" w:cs="Times New Roman"/>
          <w:sz w:val="24"/>
          <w:szCs w:val="24"/>
          <w:vertAlign w:val="superscript"/>
          <w:lang w:eastAsia="fr-FR"/>
        </w:rPr>
        <w:t>er</w:t>
      </w:r>
      <w:r w:rsidRPr="00C4598F">
        <w:rPr>
          <w:rFonts w:ascii="Times New Roman" w:eastAsia="Times New Roman" w:hAnsi="Times New Roman" w:cs="Times New Roman"/>
          <w:sz w:val="24"/>
          <w:szCs w:val="24"/>
          <w:lang w:eastAsia="fr-FR"/>
        </w:rPr>
        <w:t xml:space="preserve"> novembre, délai de rigueur, afin de respecter le calendrier des organisateurs du congrès. </w:t>
      </w:r>
    </w:p>
    <w:p w:rsidR="00C4598F" w:rsidRPr="00C4598F" w:rsidRDefault="00C4598F" w:rsidP="00C4598F">
      <w:pPr>
        <w:spacing w:before="100" w:beforeAutospacing="1" w:after="100" w:afterAutospacing="1" w:line="240" w:lineRule="auto"/>
        <w:ind w:firstLine="284"/>
        <w:jc w:val="both"/>
        <w:rPr>
          <w:rFonts w:ascii="Times New Roman" w:eastAsia="Times New Roman" w:hAnsi="Times New Roman" w:cs="Times New Roman"/>
          <w:sz w:val="24"/>
          <w:szCs w:val="24"/>
          <w:lang w:eastAsia="fr-FR"/>
        </w:rPr>
      </w:pPr>
      <w:r w:rsidRPr="00C4598F">
        <w:rPr>
          <w:rFonts w:ascii="Times New Roman" w:eastAsia="Times New Roman" w:hAnsi="Times New Roman" w:cs="Times New Roman"/>
          <w:sz w:val="24"/>
          <w:szCs w:val="24"/>
          <w:lang w:eastAsia="fr-FR"/>
        </w:rPr>
        <w:t> </w:t>
      </w:r>
    </w:p>
    <w:p w:rsidR="00C4598F" w:rsidRPr="00C4598F" w:rsidRDefault="00C4598F" w:rsidP="00C4598F">
      <w:pPr>
        <w:spacing w:before="100" w:beforeAutospacing="1" w:after="100" w:afterAutospacing="1" w:line="240" w:lineRule="auto"/>
        <w:jc w:val="both"/>
        <w:rPr>
          <w:rFonts w:ascii="Times New Roman" w:eastAsia="Times New Roman" w:hAnsi="Times New Roman" w:cs="Times New Roman"/>
          <w:sz w:val="24"/>
          <w:szCs w:val="24"/>
          <w:lang w:val="en-IE" w:eastAsia="fr-FR"/>
        </w:rPr>
      </w:pPr>
      <w:proofErr w:type="spellStart"/>
      <w:r w:rsidRPr="00C4598F">
        <w:rPr>
          <w:rFonts w:ascii="Times New Roman" w:eastAsia="Times New Roman" w:hAnsi="Times New Roman" w:cs="Times New Roman"/>
          <w:sz w:val="24"/>
          <w:szCs w:val="24"/>
          <w:lang w:val="en-US" w:eastAsia="fr-FR"/>
        </w:rPr>
        <w:t>Références</w:t>
      </w:r>
      <w:proofErr w:type="spellEnd"/>
    </w:p>
    <w:p w:rsidR="00C4598F" w:rsidRPr="00C4598F" w:rsidRDefault="00C4598F" w:rsidP="00C4598F">
      <w:pPr>
        <w:spacing w:before="100" w:beforeAutospacing="1" w:after="100" w:afterAutospacing="1" w:line="240" w:lineRule="auto"/>
        <w:jc w:val="both"/>
        <w:rPr>
          <w:rFonts w:ascii="Times New Roman" w:eastAsia="Times New Roman" w:hAnsi="Times New Roman" w:cs="Times New Roman"/>
          <w:sz w:val="24"/>
          <w:szCs w:val="24"/>
          <w:lang w:val="en-IE" w:eastAsia="fr-FR"/>
        </w:rPr>
      </w:pPr>
      <w:r w:rsidRPr="00C4598F">
        <w:rPr>
          <w:rFonts w:ascii="Times New Roman" w:eastAsia="Times New Roman" w:hAnsi="Times New Roman" w:cs="Times New Roman"/>
          <w:sz w:val="24"/>
          <w:szCs w:val="24"/>
          <w:lang w:val="en-US" w:eastAsia="fr-FR"/>
        </w:rPr>
        <w:t xml:space="preserve">Lawrence Black et Hugh Pemberton, </w:t>
      </w:r>
      <w:r w:rsidRPr="00C4598F">
        <w:rPr>
          <w:rFonts w:ascii="Times New Roman" w:eastAsia="Times New Roman" w:hAnsi="Times New Roman" w:cs="Times New Roman"/>
          <w:i/>
          <w:iCs/>
          <w:sz w:val="24"/>
          <w:szCs w:val="24"/>
          <w:lang w:val="en-US" w:eastAsia="fr-FR"/>
        </w:rPr>
        <w:t>An Affluent Society ? Britain’s Postwar ‘Golden Age’ Revisited</w:t>
      </w:r>
      <w:r w:rsidRPr="00C4598F">
        <w:rPr>
          <w:rFonts w:ascii="Times New Roman" w:eastAsia="Times New Roman" w:hAnsi="Times New Roman" w:cs="Times New Roman"/>
          <w:sz w:val="24"/>
          <w:szCs w:val="24"/>
          <w:lang w:val="en-US" w:eastAsia="fr-FR"/>
        </w:rPr>
        <w:t>, Routledge, 2004.</w:t>
      </w:r>
    </w:p>
    <w:p w:rsidR="00C4598F" w:rsidRPr="00C4598F" w:rsidRDefault="00C4598F" w:rsidP="00C4598F">
      <w:pPr>
        <w:spacing w:before="100" w:beforeAutospacing="1" w:after="100" w:afterAutospacing="1" w:line="240" w:lineRule="auto"/>
        <w:jc w:val="both"/>
        <w:rPr>
          <w:rFonts w:ascii="Times New Roman" w:eastAsia="Times New Roman" w:hAnsi="Times New Roman" w:cs="Times New Roman"/>
          <w:sz w:val="24"/>
          <w:szCs w:val="24"/>
          <w:lang w:val="en-IE" w:eastAsia="fr-FR"/>
        </w:rPr>
      </w:pPr>
      <w:r w:rsidRPr="00C4598F">
        <w:rPr>
          <w:rFonts w:ascii="Times New Roman" w:eastAsia="Times New Roman" w:hAnsi="Times New Roman" w:cs="Times New Roman"/>
          <w:sz w:val="24"/>
          <w:szCs w:val="24"/>
          <w:lang w:val="en-US" w:eastAsia="fr-FR"/>
        </w:rPr>
        <w:t xml:space="preserve">Vernon </w:t>
      </w:r>
      <w:proofErr w:type="spellStart"/>
      <w:r w:rsidRPr="00C4598F">
        <w:rPr>
          <w:rFonts w:ascii="Times New Roman" w:eastAsia="Times New Roman" w:hAnsi="Times New Roman" w:cs="Times New Roman"/>
          <w:sz w:val="24"/>
          <w:szCs w:val="24"/>
          <w:lang w:val="en-US" w:eastAsia="fr-FR"/>
        </w:rPr>
        <w:t>Bogdanor</w:t>
      </w:r>
      <w:proofErr w:type="spellEnd"/>
      <w:r w:rsidRPr="00C4598F">
        <w:rPr>
          <w:rFonts w:ascii="Times New Roman" w:eastAsia="Times New Roman" w:hAnsi="Times New Roman" w:cs="Times New Roman"/>
          <w:sz w:val="24"/>
          <w:szCs w:val="24"/>
          <w:lang w:val="en-US" w:eastAsia="fr-FR"/>
        </w:rPr>
        <w:t xml:space="preserve">, </w:t>
      </w:r>
      <w:r w:rsidRPr="00C4598F">
        <w:rPr>
          <w:rFonts w:ascii="Times New Roman" w:eastAsia="Times New Roman" w:hAnsi="Times New Roman" w:cs="Times New Roman"/>
          <w:i/>
          <w:iCs/>
          <w:sz w:val="24"/>
          <w:szCs w:val="24"/>
          <w:lang w:val="en-US" w:eastAsia="fr-FR"/>
        </w:rPr>
        <w:t>Beyond Brexit : Towards a British Constitution</w:t>
      </w:r>
      <w:r w:rsidRPr="00C4598F">
        <w:rPr>
          <w:rFonts w:ascii="Times New Roman" w:eastAsia="Times New Roman" w:hAnsi="Times New Roman" w:cs="Times New Roman"/>
          <w:sz w:val="24"/>
          <w:szCs w:val="24"/>
          <w:lang w:val="en-US" w:eastAsia="fr-FR"/>
        </w:rPr>
        <w:t>, I.B. Tauris,  March 2019.</w:t>
      </w:r>
    </w:p>
    <w:p w:rsidR="00C4598F" w:rsidRPr="00C4598F" w:rsidRDefault="00C4598F" w:rsidP="00C4598F">
      <w:pPr>
        <w:spacing w:before="100" w:beforeAutospacing="1" w:after="100" w:afterAutospacing="1" w:line="240" w:lineRule="auto"/>
        <w:jc w:val="both"/>
        <w:rPr>
          <w:rFonts w:ascii="Times New Roman" w:eastAsia="Times New Roman" w:hAnsi="Times New Roman" w:cs="Times New Roman"/>
          <w:sz w:val="24"/>
          <w:szCs w:val="24"/>
          <w:lang w:val="en-IE" w:eastAsia="fr-FR"/>
        </w:rPr>
      </w:pPr>
      <w:r w:rsidRPr="00C4598F">
        <w:rPr>
          <w:rFonts w:ascii="Times New Roman" w:eastAsia="Times New Roman" w:hAnsi="Times New Roman" w:cs="Times New Roman"/>
          <w:sz w:val="24"/>
          <w:szCs w:val="24"/>
          <w:lang w:val="en-US" w:eastAsia="fr-FR"/>
        </w:rPr>
        <w:t xml:space="preserve">Bruce Collins et Keith Robbins, </w:t>
      </w:r>
      <w:r w:rsidRPr="00C4598F">
        <w:rPr>
          <w:rFonts w:ascii="Times New Roman" w:eastAsia="Times New Roman" w:hAnsi="Times New Roman" w:cs="Times New Roman"/>
          <w:i/>
          <w:iCs/>
          <w:sz w:val="24"/>
          <w:szCs w:val="24"/>
          <w:lang w:val="en-US" w:eastAsia="fr-FR"/>
        </w:rPr>
        <w:t>British Culture and Economic Decline</w:t>
      </w:r>
      <w:r w:rsidRPr="00C4598F">
        <w:rPr>
          <w:rFonts w:ascii="Times New Roman" w:eastAsia="Times New Roman" w:hAnsi="Times New Roman" w:cs="Times New Roman"/>
          <w:sz w:val="24"/>
          <w:szCs w:val="24"/>
          <w:lang w:val="en-US" w:eastAsia="fr-FR"/>
        </w:rPr>
        <w:t>, Palgrave Macmillan, 1990.</w:t>
      </w:r>
    </w:p>
    <w:p w:rsidR="00C4598F" w:rsidRPr="00C4598F" w:rsidRDefault="00C4598F" w:rsidP="00C4598F">
      <w:pPr>
        <w:spacing w:before="100" w:beforeAutospacing="1" w:after="100" w:afterAutospacing="1" w:line="240" w:lineRule="auto"/>
        <w:jc w:val="both"/>
        <w:rPr>
          <w:rFonts w:ascii="Times New Roman" w:eastAsia="Times New Roman" w:hAnsi="Times New Roman" w:cs="Times New Roman"/>
          <w:sz w:val="24"/>
          <w:szCs w:val="24"/>
          <w:lang w:val="en-IE" w:eastAsia="fr-FR"/>
        </w:rPr>
      </w:pPr>
      <w:r w:rsidRPr="00C4598F">
        <w:rPr>
          <w:rFonts w:ascii="Times New Roman" w:eastAsia="Times New Roman" w:hAnsi="Times New Roman" w:cs="Times New Roman"/>
          <w:sz w:val="24"/>
          <w:szCs w:val="24"/>
          <w:lang w:val="en-US" w:eastAsia="fr-FR"/>
        </w:rPr>
        <w:t xml:space="preserve">Richard English &amp; Michael Kenny (dir.), </w:t>
      </w:r>
      <w:r w:rsidRPr="00C4598F">
        <w:rPr>
          <w:rFonts w:ascii="Times New Roman" w:eastAsia="Times New Roman" w:hAnsi="Times New Roman" w:cs="Times New Roman"/>
          <w:i/>
          <w:iCs/>
          <w:sz w:val="24"/>
          <w:szCs w:val="24"/>
          <w:lang w:val="en-US" w:eastAsia="fr-FR"/>
        </w:rPr>
        <w:t>Rethinking British Decline</w:t>
      </w:r>
      <w:r w:rsidRPr="00C4598F">
        <w:rPr>
          <w:rFonts w:ascii="Times New Roman" w:eastAsia="Times New Roman" w:hAnsi="Times New Roman" w:cs="Times New Roman"/>
          <w:sz w:val="24"/>
          <w:szCs w:val="24"/>
          <w:lang w:val="en-US" w:eastAsia="fr-FR"/>
        </w:rPr>
        <w:t xml:space="preserve">, Palgrave Macmillan, 1999. </w:t>
      </w:r>
    </w:p>
    <w:p w:rsidR="00C4598F" w:rsidRPr="00C4598F" w:rsidRDefault="00C4598F" w:rsidP="00C4598F">
      <w:pPr>
        <w:spacing w:before="100" w:beforeAutospacing="1" w:after="100" w:afterAutospacing="1" w:line="240" w:lineRule="auto"/>
        <w:jc w:val="both"/>
        <w:rPr>
          <w:rFonts w:ascii="Times New Roman" w:eastAsia="Times New Roman" w:hAnsi="Times New Roman" w:cs="Times New Roman"/>
          <w:sz w:val="24"/>
          <w:szCs w:val="24"/>
          <w:lang w:val="en-IE" w:eastAsia="fr-FR"/>
        </w:rPr>
      </w:pPr>
      <w:r w:rsidRPr="00C4598F">
        <w:rPr>
          <w:rFonts w:ascii="Times New Roman" w:eastAsia="Times New Roman" w:hAnsi="Times New Roman" w:cs="Times New Roman"/>
          <w:sz w:val="24"/>
          <w:szCs w:val="24"/>
          <w:lang w:val="en-US" w:eastAsia="fr-FR"/>
        </w:rPr>
        <w:t xml:space="preserve">David </w:t>
      </w:r>
      <w:proofErr w:type="spellStart"/>
      <w:r w:rsidRPr="00C4598F">
        <w:rPr>
          <w:rFonts w:ascii="Times New Roman" w:eastAsia="Times New Roman" w:hAnsi="Times New Roman" w:cs="Times New Roman"/>
          <w:sz w:val="24"/>
          <w:szCs w:val="24"/>
          <w:lang w:val="en-US" w:eastAsia="fr-FR"/>
        </w:rPr>
        <w:t>Goodhart</w:t>
      </w:r>
      <w:proofErr w:type="spellEnd"/>
      <w:r w:rsidRPr="00C4598F">
        <w:rPr>
          <w:rFonts w:ascii="Times New Roman" w:eastAsia="Times New Roman" w:hAnsi="Times New Roman" w:cs="Times New Roman"/>
          <w:sz w:val="24"/>
          <w:szCs w:val="24"/>
          <w:lang w:val="en-US" w:eastAsia="fr-FR"/>
        </w:rPr>
        <w:t xml:space="preserve">, “Why Brexit is a chance for national renewal”, </w:t>
      </w:r>
      <w:r w:rsidRPr="00C4598F">
        <w:rPr>
          <w:rFonts w:ascii="Times New Roman" w:eastAsia="Times New Roman" w:hAnsi="Times New Roman" w:cs="Times New Roman"/>
          <w:i/>
          <w:iCs/>
          <w:sz w:val="24"/>
          <w:szCs w:val="24"/>
          <w:lang w:val="en-US" w:eastAsia="fr-FR"/>
        </w:rPr>
        <w:t>Prospect</w:t>
      </w:r>
      <w:r w:rsidRPr="00C4598F">
        <w:rPr>
          <w:rFonts w:ascii="Times New Roman" w:eastAsia="Times New Roman" w:hAnsi="Times New Roman" w:cs="Times New Roman"/>
          <w:sz w:val="24"/>
          <w:szCs w:val="24"/>
          <w:lang w:val="en-US" w:eastAsia="fr-FR"/>
        </w:rPr>
        <w:t>, March 13, 2017.</w:t>
      </w:r>
    </w:p>
    <w:p w:rsidR="00C4598F" w:rsidRPr="00C4598F" w:rsidRDefault="00C4598F" w:rsidP="00C4598F">
      <w:pPr>
        <w:spacing w:before="100" w:beforeAutospacing="1" w:after="100" w:afterAutospacing="1" w:line="240" w:lineRule="auto"/>
        <w:jc w:val="both"/>
        <w:rPr>
          <w:rFonts w:ascii="Times New Roman" w:eastAsia="Times New Roman" w:hAnsi="Times New Roman" w:cs="Times New Roman"/>
          <w:sz w:val="24"/>
          <w:szCs w:val="24"/>
          <w:lang w:val="en-IE" w:eastAsia="fr-FR"/>
        </w:rPr>
      </w:pPr>
      <w:r w:rsidRPr="00C4598F">
        <w:rPr>
          <w:rFonts w:ascii="Times New Roman" w:eastAsia="Times New Roman" w:hAnsi="Times New Roman" w:cs="Times New Roman"/>
          <w:sz w:val="24"/>
          <w:szCs w:val="24"/>
          <w:lang w:val="en-US" w:eastAsia="fr-FR"/>
        </w:rPr>
        <w:t xml:space="preserve">Jim Tomlinson, “Inventing 'Decline': The Falling behind of the British Economy in the Postwar Years”, </w:t>
      </w:r>
      <w:r w:rsidRPr="00C4598F">
        <w:rPr>
          <w:rFonts w:ascii="Calibri" w:eastAsia="Times New Roman" w:hAnsi="Calibri" w:cs="Calibri"/>
          <w:i/>
          <w:iCs/>
          <w:sz w:val="24"/>
          <w:szCs w:val="24"/>
          <w:lang w:val="en-US" w:eastAsia="fr-FR"/>
        </w:rPr>
        <w:t xml:space="preserve">The Economic History Review, </w:t>
      </w:r>
      <w:r w:rsidRPr="00C4598F">
        <w:rPr>
          <w:rFonts w:ascii="Times New Roman" w:eastAsia="Times New Roman" w:hAnsi="Times New Roman" w:cs="Times New Roman"/>
          <w:sz w:val="24"/>
          <w:szCs w:val="24"/>
          <w:lang w:val="en-US" w:eastAsia="fr-FR"/>
        </w:rPr>
        <w:t>New Series, Vol. 49, No. 4 (Nov., 1996), pp. 731-757.</w:t>
      </w:r>
    </w:p>
    <w:p w:rsidR="00356D3D" w:rsidRPr="00C4598F" w:rsidRDefault="00356D3D">
      <w:pPr>
        <w:rPr>
          <w:lang w:val="en-IE"/>
        </w:rPr>
      </w:pPr>
    </w:p>
    <w:sectPr w:rsidR="00356D3D" w:rsidRPr="00C459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04F1"/>
    <w:multiLevelType w:val="multilevel"/>
    <w:tmpl w:val="A1C6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98F"/>
    <w:rsid w:val="00356D3D"/>
    <w:rsid w:val="00C4598F"/>
    <w:rsid w:val="00E77F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96EC4-E034-4E3F-B714-07AC9477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C459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598F"/>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C4598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C4598F"/>
    <w:rPr>
      <w:color w:val="0000FF"/>
      <w:u w:val="single"/>
    </w:rPr>
  </w:style>
  <w:style w:type="character" w:styleId="CitationHTML">
    <w:name w:val="HTML Cite"/>
    <w:basedOn w:val="Policepardfaut"/>
    <w:uiPriority w:val="99"/>
    <w:semiHidden/>
    <w:unhideWhenUsed/>
    <w:rsid w:val="00C459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9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lles.leydier@free.fr" TargetMode="External"/><Relationship Id="rId5" Type="http://schemas.openxmlformats.org/officeDocument/2006/relationships/hyperlink" Target="mailto:valerie.andre@univ-amu.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902</Words>
  <Characters>4961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Armao</dc:creator>
  <cp:keywords/>
  <dc:description/>
  <cp:lastModifiedBy>Frederic Armao</cp:lastModifiedBy>
  <cp:revision>2</cp:revision>
  <dcterms:created xsi:type="dcterms:W3CDTF">2019-10-07T07:07:00Z</dcterms:created>
  <dcterms:modified xsi:type="dcterms:W3CDTF">2019-10-07T07:07:00Z</dcterms:modified>
</cp:coreProperties>
</file>