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757" w:rsidRPr="00EA7757" w:rsidRDefault="00EA7757" w:rsidP="00EA7757">
      <w:pPr>
        <w:spacing w:before="113" w:after="0"/>
        <w:jc w:val="center"/>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European Labour History Network</w:t>
      </w:r>
    </w:p>
    <w:p w:rsidR="00EA7757" w:rsidRPr="00EA7757" w:rsidRDefault="00EA7757" w:rsidP="00EA7757">
      <w:pPr>
        <w:spacing w:before="113" w:after="0"/>
        <w:jc w:val="center"/>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Labour &amp; Empire Working Group</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jc w:val="center"/>
        <w:rPr>
          <w:rFonts w:ascii="Times New Roman" w:eastAsia="Times New Roman" w:hAnsi="Times New Roman" w:cs="Times New Roman"/>
          <w:sz w:val="24"/>
          <w:szCs w:val="24"/>
          <w:lang w:eastAsia="fr-FR"/>
        </w:rPr>
      </w:pPr>
      <w:r w:rsidRPr="00EA7757">
        <w:rPr>
          <w:rFonts w:ascii="Garamond" w:eastAsia="Times New Roman" w:hAnsi="Garamond" w:cs="Times New Roman"/>
          <w:b/>
          <w:bCs/>
          <w:sz w:val="26"/>
          <w:szCs w:val="26"/>
          <w:lang w:eastAsia="fr-FR"/>
        </w:rPr>
        <w:t>Working-Class Anti-Imperialism and the Global Left:</w:t>
      </w:r>
    </w:p>
    <w:p w:rsidR="00EA7757" w:rsidRPr="00EA7757" w:rsidRDefault="00EA7757" w:rsidP="00EA7757">
      <w:pPr>
        <w:spacing w:before="113" w:after="0"/>
        <w:jc w:val="center"/>
        <w:rPr>
          <w:rFonts w:ascii="Times New Roman" w:eastAsia="Times New Roman" w:hAnsi="Times New Roman" w:cs="Times New Roman"/>
          <w:sz w:val="24"/>
          <w:szCs w:val="24"/>
          <w:lang w:eastAsia="fr-FR"/>
        </w:rPr>
      </w:pPr>
      <w:r w:rsidRPr="00EA7757">
        <w:rPr>
          <w:rFonts w:ascii="Garamond" w:eastAsia="Times New Roman" w:hAnsi="Garamond" w:cs="Times New Roman"/>
          <w:b/>
          <w:bCs/>
          <w:sz w:val="26"/>
          <w:szCs w:val="26"/>
          <w:lang w:eastAsia="fr-FR"/>
        </w:rPr>
        <w:t>New Directions of Study</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jc w:val="center"/>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 xml:space="preserve">University of Bristol, 30 June 2023 </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The global turn has inspired a new generation of scholarship concerned with the links between labour and various forms of internationalism connected to socialism and communism, pan-ethnic, pan-racial and transnational religious movements, international institutions and organisations, and anti-imperial networks.</w:t>
      </w:r>
    </w:p>
    <w:p w:rsidR="00EA7757" w:rsidRPr="00EA7757" w:rsidRDefault="00EA7757" w:rsidP="00EA7757">
      <w:p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What has emerged from these histories is a better understanding of the interdependent, dynamic, and often complex relationship between labour in all its commodified forms, workers’ organisations, and different international bodies and movements which claimed to be operating on behalf of labour.</w:t>
      </w:r>
    </w:p>
    <w:p w:rsidR="00EA7757" w:rsidRPr="00EA7757" w:rsidRDefault="00EA7757" w:rsidP="00EA7757">
      <w:p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At particular moments and in particular places, workers and international organisations could act in unison to further their shared objectives. Such alliances often proved to be fleeting, however. Typically, this was because connections were more imagined than real, because differences along the axes of class, gender, ethnicity, religion, and nationality proved insurmountable, or because vernacular understandings of collective organisation and resistance were incompatible with how external actors, particularly those from the global North, conceptualised the very same struggles.</w:t>
      </w:r>
    </w:p>
    <w:p w:rsidR="00EA7757" w:rsidRPr="00EA7757" w:rsidRDefault="00EA7757" w:rsidP="00EA7757">
      <w:p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Of course, such differences and divergences should not obscure examples of intra-South movements which worked successfully in colonial and postcolonial spaces to further labour-related agendas, and often in ways that challenged normative understandings of work, the worker, and worker organisations.</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i/>
          <w:iCs/>
          <w:sz w:val="24"/>
          <w:szCs w:val="24"/>
          <w:lang w:eastAsia="fr-FR"/>
        </w:rPr>
        <w:t>In view of the increasingly diverse character of international labour history, the convenors for this one-day conference, which will be held in Bristol on June, 30, 2023, welcome 250-word proposals for papers which address one or more of the following themes:</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South-South cooperation and collaboration, with a particular emphasis on grassroots labour mobilisation and non-institutional forms of collective action</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Transnational and international movements, particularly those concerned with race-based and gender-based activism</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Alternative leftist international imaginaries for the post-imperial and postcolonial worlds</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Labour and pan-ethnic and anti-racist movements, including, for example, Black Internationalism</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lastRenderedPageBreak/>
        <w:t>Left-wing internationalism and its relationship with anti-imperialism and anti-colonialism</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International and transnational subaltern activists in imperial, colonial, and postcolonial contexts</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The relationship between mobile spaces, itinerant workers and international activists</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Racialised immigration regimes, with a particular focus on movements that supported or opposed race-based immigration laws</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The internationalisation of the ‘labour question’</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The overseas activities of national trade union organisations</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The racialisation of coerced workers (from enslaved men and women to indentured workers) and its impact on labour internationalism and workers’ solidarity</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Consumer-centred forms of resistance to imperialism and its relation with the production and circulation of goods</w:t>
      </w:r>
    </w:p>
    <w:p w:rsidR="00EA7757" w:rsidRPr="00EA7757" w:rsidRDefault="00EA7757" w:rsidP="00EA7757">
      <w:pPr>
        <w:numPr>
          <w:ilvl w:val="0"/>
          <w:numId w:val="1"/>
        </w:num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Domestic labour and resistance to empire in the private space.</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 xml:space="preserve">Proposals should be submitted to labourempire.elhn@gmail.com by </w:t>
      </w:r>
      <w:r w:rsidRPr="00EA7757">
        <w:rPr>
          <w:rFonts w:ascii="Garamond" w:eastAsia="Times New Roman" w:hAnsi="Garamond" w:cs="Times New Roman"/>
          <w:b/>
          <w:bCs/>
          <w:sz w:val="24"/>
          <w:szCs w:val="24"/>
          <w:lang w:eastAsia="fr-FR"/>
        </w:rPr>
        <w:t>30 November 2022</w:t>
      </w:r>
      <w:r w:rsidRPr="00EA7757">
        <w:rPr>
          <w:rFonts w:ascii="Garamond" w:eastAsia="Times New Roman" w:hAnsi="Garamond" w:cs="Times New Roman"/>
          <w:sz w:val="24"/>
          <w:szCs w:val="24"/>
          <w:lang w:eastAsia="fr-FR"/>
        </w:rPr>
        <w:t>. Papers should focus on either the 19</w:t>
      </w:r>
      <w:r w:rsidRPr="00EA7757">
        <w:rPr>
          <w:rFonts w:ascii="Garamond" w:eastAsia="Times New Roman" w:hAnsi="Garamond" w:cs="Times New Roman"/>
          <w:sz w:val="24"/>
          <w:szCs w:val="24"/>
          <w:vertAlign w:val="superscript"/>
          <w:lang w:eastAsia="fr-FR"/>
        </w:rPr>
        <w:t>th</w:t>
      </w:r>
      <w:r w:rsidRPr="00EA7757">
        <w:rPr>
          <w:rFonts w:ascii="Garamond" w:eastAsia="Times New Roman" w:hAnsi="Garamond" w:cs="Times New Roman"/>
          <w:sz w:val="24"/>
          <w:szCs w:val="24"/>
          <w:lang w:eastAsia="fr-FR"/>
        </w:rPr>
        <w:t xml:space="preserve"> or 20</w:t>
      </w:r>
      <w:r w:rsidRPr="00EA7757">
        <w:rPr>
          <w:rFonts w:ascii="Garamond" w:eastAsia="Times New Roman" w:hAnsi="Garamond" w:cs="Times New Roman"/>
          <w:sz w:val="24"/>
          <w:szCs w:val="24"/>
          <w:vertAlign w:val="superscript"/>
          <w:lang w:eastAsia="fr-FR"/>
        </w:rPr>
        <w:t>th</w:t>
      </w:r>
      <w:r w:rsidRPr="00EA7757">
        <w:rPr>
          <w:rFonts w:ascii="Garamond" w:eastAsia="Times New Roman" w:hAnsi="Garamond" w:cs="Times New Roman"/>
          <w:sz w:val="24"/>
          <w:szCs w:val="24"/>
          <w:lang w:eastAsia="fr-FR"/>
        </w:rPr>
        <w:t xml:space="preserve"> century (or both). They can focus on any geographic location, but proposals that are decentred and/or written from the perspective of the global South in colonial and postcolonial contexts are particularly welcome. The organisers will promote the publication of a selection of the papers as a special issue in a leading journal of the field (more details TBA).</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lang w:eastAsia="fr-FR"/>
        </w:rPr>
        <w:t xml:space="preserve">For more information about the ELHN Labour&amp;Empire group and its activities, please visit: </w:t>
      </w:r>
      <w:hyperlink r:id="rId5" w:tgtFrame="_blank" w:history="1">
        <w:r w:rsidRPr="00EA7757">
          <w:rPr>
            <w:rFonts w:ascii="Garamond" w:eastAsia="Times New Roman" w:hAnsi="Garamond" w:cs="Times New Roman"/>
            <w:color w:val="0000FF"/>
            <w:sz w:val="24"/>
            <w:szCs w:val="24"/>
            <w:u w:val="single"/>
            <w:lang w:eastAsia="fr-FR"/>
          </w:rPr>
          <w:t>https://socialhistoryportal.org/elhn/wg-empire</w:t>
        </w:r>
      </w:hyperlink>
      <w:r w:rsidRPr="00EA7757">
        <w:rPr>
          <w:rFonts w:ascii="Garamond" w:eastAsia="Times New Roman" w:hAnsi="Garamond" w:cs="Times New Roman"/>
          <w:sz w:val="24"/>
          <w:szCs w:val="24"/>
          <w:lang w:eastAsia="fr-FR"/>
        </w:rPr>
        <w:t xml:space="preserve">. </w:t>
      </w:r>
    </w:p>
    <w:p w:rsidR="00EA7757" w:rsidRPr="00EA7757" w:rsidRDefault="00EA7757" w:rsidP="00EA7757">
      <w:pPr>
        <w:spacing w:before="113" w:after="0"/>
        <w:rPr>
          <w:rFonts w:ascii="Times New Roman" w:eastAsia="Times New Roman" w:hAnsi="Times New Roman" w:cs="Times New Roman"/>
          <w:sz w:val="24"/>
          <w:szCs w:val="24"/>
          <w:lang w:eastAsia="fr-FR"/>
        </w:rPr>
      </w:pPr>
    </w:p>
    <w:p w:rsidR="00EA7757" w:rsidRPr="00EA7757" w:rsidRDefault="00EA7757" w:rsidP="00EA7757">
      <w:pPr>
        <w:spacing w:before="113" w:after="0"/>
        <w:jc w:val="center"/>
        <w:rPr>
          <w:rFonts w:ascii="Times New Roman" w:eastAsia="Times New Roman" w:hAnsi="Times New Roman" w:cs="Times New Roman"/>
          <w:sz w:val="24"/>
          <w:szCs w:val="24"/>
          <w:lang w:eastAsia="fr-FR"/>
        </w:rPr>
      </w:pPr>
      <w:r w:rsidRPr="00EA7757">
        <w:rPr>
          <w:rFonts w:ascii="Garamond" w:eastAsia="Times New Roman" w:hAnsi="Garamond" w:cs="Times New Roman"/>
          <w:sz w:val="24"/>
          <w:szCs w:val="24"/>
          <w:u w:val="single"/>
          <w:lang w:eastAsia="fr-FR"/>
        </w:rPr>
        <w:t>Selected bibliography</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Rana P. Behal and Marcel van der Linden, </w:t>
      </w:r>
      <w:r w:rsidRPr="00EA7757">
        <w:rPr>
          <w:rFonts w:ascii="Garamond" w:eastAsia="Times New Roman" w:hAnsi="Garamond" w:cs="Times New Roman"/>
          <w:i/>
          <w:iCs/>
          <w:sz w:val="20"/>
          <w:szCs w:val="20"/>
          <w:lang w:eastAsia="fr-FR"/>
        </w:rPr>
        <w:t>Coolies, Capital and Colonialism. Studies in Indian Labour History</w:t>
      </w:r>
      <w:r w:rsidRPr="00EA7757">
        <w:rPr>
          <w:rFonts w:ascii="Garamond" w:eastAsia="Times New Roman" w:hAnsi="Garamond" w:cs="Times New Roman"/>
          <w:sz w:val="20"/>
          <w:szCs w:val="20"/>
          <w:lang w:eastAsia="fr-FR"/>
        </w:rPr>
        <w:t xml:space="preserve"> (Cambridge, 2006). </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Yann Beliard, Neville Kirk (eds.), </w:t>
      </w:r>
      <w:r w:rsidRPr="00EA7757">
        <w:rPr>
          <w:rFonts w:ascii="Garamond" w:eastAsia="Times New Roman" w:hAnsi="Garamond" w:cs="Times New Roman"/>
          <w:i/>
          <w:iCs/>
          <w:sz w:val="20"/>
          <w:szCs w:val="20"/>
          <w:lang w:eastAsia="fr-FR"/>
        </w:rPr>
        <w:t xml:space="preserve">Workers of the Empire, Unite: Radical and Popular Challenges to British Imperialism, 1910s-1960s </w:t>
      </w:r>
      <w:r w:rsidRPr="00EA7757">
        <w:rPr>
          <w:rFonts w:ascii="Garamond" w:eastAsia="Times New Roman" w:hAnsi="Garamond" w:cs="Times New Roman"/>
          <w:sz w:val="20"/>
          <w:szCs w:val="20"/>
          <w:lang w:eastAsia="fr-FR"/>
        </w:rPr>
        <w:t xml:space="preserve">(Liverpool, 2021). </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Barbara Bush, </w:t>
      </w:r>
      <w:r w:rsidRPr="00EA7757">
        <w:rPr>
          <w:rFonts w:ascii="Garamond" w:eastAsia="Times New Roman" w:hAnsi="Garamond" w:cs="Times New Roman"/>
          <w:i/>
          <w:iCs/>
          <w:sz w:val="20"/>
          <w:szCs w:val="20"/>
          <w:lang w:eastAsia="fr-FR"/>
        </w:rPr>
        <w:t>Imperialism, Race and Resistance. Africa and Britain, 1919-1945</w:t>
      </w:r>
      <w:r w:rsidRPr="00EA7757">
        <w:rPr>
          <w:rFonts w:ascii="Garamond" w:eastAsia="Times New Roman" w:hAnsi="Garamond" w:cs="Times New Roman"/>
          <w:sz w:val="20"/>
          <w:szCs w:val="20"/>
          <w:lang w:eastAsia="fr-FR"/>
        </w:rPr>
        <w:t xml:space="preserve"> (London, 1999).</w:t>
      </w:r>
    </w:p>
    <w:p w:rsidR="00EA7757" w:rsidRPr="00EA7757" w:rsidRDefault="00EA7757" w:rsidP="00EA7757">
      <w:pPr>
        <w:spacing w:before="57" w:after="0" w:line="276" w:lineRule="auto"/>
        <w:rPr>
          <w:rFonts w:ascii="Times New Roman" w:eastAsia="Times New Roman" w:hAnsi="Times New Roman" w:cs="Times New Roman"/>
          <w:sz w:val="24"/>
          <w:szCs w:val="24"/>
          <w:lang w:val="en-IE" w:eastAsia="fr-FR"/>
        </w:rPr>
      </w:pPr>
      <w:r w:rsidRPr="00EA7757">
        <w:rPr>
          <w:rFonts w:ascii="Garamond" w:eastAsia="Times New Roman" w:hAnsi="Garamond" w:cs="Times New Roman"/>
          <w:sz w:val="20"/>
          <w:szCs w:val="20"/>
          <w:lang w:val="en-IE" w:eastAsia="fr-FR"/>
        </w:rPr>
        <w:t xml:space="preserve">Frederick Cooper, </w:t>
      </w:r>
      <w:r w:rsidRPr="00EA7757">
        <w:rPr>
          <w:rFonts w:ascii="Garamond" w:eastAsia="Times New Roman" w:hAnsi="Garamond" w:cs="Times New Roman"/>
          <w:i/>
          <w:iCs/>
          <w:sz w:val="20"/>
          <w:szCs w:val="20"/>
          <w:lang w:val="en-IE" w:eastAsia="fr-FR"/>
        </w:rPr>
        <w:t>Decolonization and African Society: the Labour Question in French and British Africa</w:t>
      </w:r>
      <w:r w:rsidRPr="00EA7757">
        <w:rPr>
          <w:rFonts w:ascii="Garamond" w:eastAsia="Times New Roman" w:hAnsi="Garamond" w:cs="Times New Roman"/>
          <w:sz w:val="20"/>
          <w:szCs w:val="20"/>
          <w:lang w:val="en-IE" w:eastAsia="fr-FR"/>
        </w:rPr>
        <w:t xml:space="preserve"> (Cambridge, 1996).</w:t>
      </w:r>
    </w:p>
    <w:p w:rsidR="00EA7757" w:rsidRPr="00EA7757" w:rsidRDefault="00EA7757" w:rsidP="00EA7757">
      <w:pPr>
        <w:spacing w:before="57" w:after="0" w:line="240"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bdr w:val="none" w:sz="0" w:space="0" w:color="auto" w:frame="1"/>
          <w:shd w:val="clear" w:color="auto" w:fill="FFFFFF"/>
          <w:lang w:eastAsia="fr-FR"/>
        </w:rPr>
        <w:t>Gareth M. Curless, “Introduction: Trade Unions in the Global South from Imperialism to the Present Day,” </w:t>
      </w:r>
      <w:r w:rsidRPr="00EA7757">
        <w:rPr>
          <w:rFonts w:ascii="Garamond" w:eastAsia="Times New Roman" w:hAnsi="Garamond" w:cs="Times New Roman"/>
          <w:i/>
          <w:iCs/>
          <w:sz w:val="20"/>
          <w:szCs w:val="20"/>
          <w:bdr w:val="none" w:sz="0" w:space="0" w:color="auto" w:frame="1"/>
          <w:shd w:val="clear" w:color="auto" w:fill="FFFFFF"/>
          <w:lang w:eastAsia="fr-FR"/>
        </w:rPr>
        <w:t>Labor History</w:t>
      </w:r>
      <w:r w:rsidRPr="00EA7757">
        <w:rPr>
          <w:rFonts w:ascii="Garamond" w:eastAsia="Times New Roman" w:hAnsi="Garamond" w:cs="Times New Roman"/>
          <w:sz w:val="20"/>
          <w:szCs w:val="20"/>
          <w:bdr w:val="none" w:sz="0" w:space="0" w:color="auto" w:frame="1"/>
          <w:shd w:val="clear" w:color="auto" w:fill="FFFFFF"/>
          <w:lang w:eastAsia="fr-FR"/>
        </w:rPr>
        <w:t xml:space="preserve"> 57:1 (2016), 1-19.</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Julie Greene, “Rethinking the Boundaries of Class: Labor History and Theories of Class and Capitalism,” </w:t>
      </w:r>
      <w:r w:rsidRPr="00EA7757">
        <w:rPr>
          <w:rFonts w:ascii="Garamond" w:eastAsia="Times New Roman" w:hAnsi="Garamond" w:cs="Times New Roman"/>
          <w:i/>
          <w:iCs/>
          <w:sz w:val="20"/>
          <w:szCs w:val="20"/>
          <w:lang w:eastAsia="fr-FR"/>
        </w:rPr>
        <w:t xml:space="preserve">Labor </w:t>
      </w:r>
      <w:r w:rsidRPr="00EA7757">
        <w:rPr>
          <w:rFonts w:ascii="Garamond" w:eastAsia="Times New Roman" w:hAnsi="Garamond" w:cs="Times New Roman"/>
          <w:sz w:val="20"/>
          <w:szCs w:val="20"/>
          <w:lang w:eastAsia="fr-FR"/>
        </w:rPr>
        <w:t>18:2</w:t>
      </w:r>
      <w:r w:rsidRPr="00EA7757">
        <w:rPr>
          <w:rFonts w:ascii="Garamond" w:eastAsia="Times New Roman" w:hAnsi="Garamond" w:cs="Times New Roman"/>
          <w:i/>
          <w:iCs/>
          <w:sz w:val="20"/>
          <w:szCs w:val="20"/>
          <w:lang w:eastAsia="fr-FR"/>
        </w:rPr>
        <w:t xml:space="preserve"> </w:t>
      </w:r>
      <w:r w:rsidRPr="00EA7757">
        <w:rPr>
          <w:rFonts w:ascii="Garamond" w:eastAsia="Times New Roman" w:hAnsi="Garamond" w:cs="Times New Roman"/>
          <w:sz w:val="20"/>
          <w:szCs w:val="20"/>
          <w:lang w:eastAsia="fr-FR"/>
        </w:rPr>
        <w:t>(2021), 92-109.</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Michael Goebel, </w:t>
      </w:r>
      <w:r w:rsidRPr="00EA7757">
        <w:rPr>
          <w:rFonts w:ascii="Garamond" w:eastAsia="Times New Roman" w:hAnsi="Garamond" w:cs="Times New Roman"/>
          <w:i/>
          <w:iCs/>
          <w:sz w:val="20"/>
          <w:szCs w:val="20"/>
          <w:lang w:eastAsia="fr-FR"/>
        </w:rPr>
        <w:t>Paris, capitale du tiers monde. Comment est née la révolution anticoloniale, 1919-1939</w:t>
      </w:r>
      <w:r w:rsidRPr="00EA7757">
        <w:rPr>
          <w:rFonts w:ascii="Garamond" w:eastAsia="Times New Roman" w:hAnsi="Garamond" w:cs="Times New Roman"/>
          <w:sz w:val="20"/>
          <w:szCs w:val="20"/>
          <w:lang w:eastAsia="fr-FR"/>
        </w:rPr>
        <w:t xml:space="preserve"> (Paris, 2017).</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Priyamvada Gopal, </w:t>
      </w:r>
      <w:r w:rsidRPr="00EA7757">
        <w:rPr>
          <w:rFonts w:ascii="Garamond" w:eastAsia="Times New Roman" w:hAnsi="Garamond" w:cs="Times New Roman"/>
          <w:i/>
          <w:iCs/>
          <w:sz w:val="20"/>
          <w:szCs w:val="20"/>
          <w:lang w:eastAsia="fr-FR"/>
        </w:rPr>
        <w:t xml:space="preserve">Insurgent Empire. Anticolonial Resistance and British Dissent </w:t>
      </w:r>
      <w:r w:rsidRPr="00EA7757">
        <w:rPr>
          <w:rFonts w:ascii="Garamond" w:eastAsia="Times New Roman" w:hAnsi="Garamond" w:cs="Times New Roman"/>
          <w:sz w:val="20"/>
          <w:szCs w:val="20"/>
          <w:lang w:eastAsia="fr-FR"/>
        </w:rPr>
        <w:t>(London, 2019).</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Tim Harper, </w:t>
      </w:r>
      <w:r w:rsidRPr="00EA7757">
        <w:rPr>
          <w:rFonts w:ascii="Garamond" w:eastAsia="Times New Roman" w:hAnsi="Garamond" w:cs="Times New Roman"/>
          <w:i/>
          <w:iCs/>
          <w:sz w:val="20"/>
          <w:szCs w:val="20"/>
          <w:lang w:eastAsia="fr-FR"/>
        </w:rPr>
        <w:t>Underground Asia: Global Revolutionaries and the Assault on Empire</w:t>
      </w:r>
      <w:r w:rsidRPr="00EA7757">
        <w:rPr>
          <w:rFonts w:ascii="Garamond" w:eastAsia="Times New Roman" w:hAnsi="Garamond" w:cs="Times New Roman"/>
          <w:sz w:val="20"/>
          <w:szCs w:val="20"/>
          <w:lang w:eastAsia="fr-FR"/>
        </w:rPr>
        <w:t xml:space="preserve"> (Cambridge, 2021).</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Steven Hirsch and Lucien van der Walt (eds), </w:t>
      </w:r>
      <w:r w:rsidRPr="00EA7757">
        <w:rPr>
          <w:rFonts w:ascii="Garamond" w:eastAsia="Times New Roman" w:hAnsi="Garamond" w:cs="Times New Roman"/>
          <w:i/>
          <w:iCs/>
          <w:sz w:val="20"/>
          <w:szCs w:val="20"/>
          <w:lang w:eastAsia="fr-FR"/>
        </w:rPr>
        <w:t>Anarchism and Syndicalism in the Colonial and Postcolonial World, 1870-1940. The praxis of national liberation, internationalism, and social revolution</w:t>
      </w:r>
      <w:r w:rsidRPr="00EA7757">
        <w:rPr>
          <w:rFonts w:ascii="Garamond" w:eastAsia="Times New Roman" w:hAnsi="Garamond" w:cs="Times New Roman"/>
          <w:sz w:val="20"/>
          <w:szCs w:val="20"/>
          <w:lang w:eastAsia="fr-FR"/>
        </w:rPr>
        <w:t xml:space="preserve"> (Leiden, 2010).</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Stephen Howe, </w:t>
      </w:r>
      <w:r w:rsidRPr="00EA7757">
        <w:rPr>
          <w:rFonts w:ascii="Garamond" w:eastAsia="Times New Roman" w:hAnsi="Garamond" w:cs="Times New Roman"/>
          <w:i/>
          <w:iCs/>
          <w:sz w:val="20"/>
          <w:szCs w:val="20"/>
          <w:lang w:eastAsia="fr-FR"/>
        </w:rPr>
        <w:t>Anti-colonialism in British Politics. The Left and the End of Empire, 1918-1964</w:t>
      </w:r>
      <w:r w:rsidRPr="00EA7757">
        <w:rPr>
          <w:rFonts w:ascii="Garamond" w:eastAsia="Times New Roman" w:hAnsi="Garamond" w:cs="Times New Roman"/>
          <w:sz w:val="20"/>
          <w:szCs w:val="20"/>
          <w:lang w:eastAsia="fr-FR"/>
        </w:rPr>
        <w:t xml:space="preserve"> (Oxford, 1993).</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Ilham Khuri-Makdisi, </w:t>
      </w:r>
      <w:r w:rsidRPr="00EA7757">
        <w:rPr>
          <w:rFonts w:ascii="Garamond" w:eastAsia="Times New Roman" w:hAnsi="Garamond" w:cs="Times New Roman"/>
          <w:i/>
          <w:iCs/>
          <w:sz w:val="20"/>
          <w:szCs w:val="20"/>
          <w:lang w:eastAsia="fr-FR"/>
        </w:rPr>
        <w:t xml:space="preserve">The Eastern Mediterranean and the Making of Global Radicalism, 1860-1914 </w:t>
      </w:r>
      <w:r w:rsidRPr="00EA7757">
        <w:rPr>
          <w:rFonts w:ascii="Garamond" w:eastAsia="Times New Roman" w:hAnsi="Garamond" w:cs="Times New Roman"/>
          <w:sz w:val="20"/>
          <w:szCs w:val="20"/>
          <w:lang w:eastAsia="fr-FR"/>
        </w:rPr>
        <w:t>(Berkeley, 2013).</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Marylin Lake and Henry Reynolds, </w:t>
      </w:r>
      <w:r w:rsidRPr="00EA7757">
        <w:rPr>
          <w:rFonts w:ascii="Garamond" w:eastAsia="Times New Roman" w:hAnsi="Garamond" w:cs="Times New Roman"/>
          <w:i/>
          <w:iCs/>
          <w:sz w:val="20"/>
          <w:szCs w:val="20"/>
          <w:lang w:eastAsia="fr-FR"/>
        </w:rPr>
        <w:t xml:space="preserve">Drawing the Global Colour Line: White Men's Countries and the International Challenge of Racial Equality </w:t>
      </w:r>
      <w:r w:rsidRPr="00EA7757">
        <w:rPr>
          <w:rFonts w:ascii="Garamond" w:eastAsia="Times New Roman" w:hAnsi="Garamond" w:cs="Times New Roman"/>
          <w:sz w:val="20"/>
          <w:szCs w:val="20"/>
          <w:lang w:eastAsia="fr-FR"/>
        </w:rPr>
        <w:t>(Cambridge, 2008).</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Su Lin Lewis, “Asian Socialists and the Forgotten Architects of Post-Colonial Freedom,” </w:t>
      </w:r>
      <w:r w:rsidRPr="00EA7757">
        <w:rPr>
          <w:rFonts w:ascii="Garamond" w:eastAsia="Times New Roman" w:hAnsi="Garamond" w:cs="Times New Roman"/>
          <w:i/>
          <w:iCs/>
          <w:sz w:val="20"/>
          <w:szCs w:val="20"/>
          <w:lang w:eastAsia="fr-FR"/>
        </w:rPr>
        <w:t xml:space="preserve">Journal of World History </w:t>
      </w:r>
      <w:r w:rsidRPr="00EA7757">
        <w:rPr>
          <w:rFonts w:ascii="Garamond" w:eastAsia="Times New Roman" w:hAnsi="Garamond" w:cs="Times New Roman"/>
          <w:sz w:val="20"/>
          <w:szCs w:val="20"/>
          <w:lang w:eastAsia="fr-FR"/>
        </w:rPr>
        <w:t xml:space="preserve">30:1-2 (2019), 55-88. </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Nicholas Owen, </w:t>
      </w:r>
      <w:r w:rsidRPr="00EA7757">
        <w:rPr>
          <w:rFonts w:ascii="Garamond" w:eastAsia="Times New Roman" w:hAnsi="Garamond" w:cs="Times New Roman"/>
          <w:i/>
          <w:iCs/>
          <w:sz w:val="20"/>
          <w:szCs w:val="20"/>
          <w:lang w:eastAsia="fr-FR"/>
        </w:rPr>
        <w:t>The British Left and India. Metropolitan Anti-Imperialism, 1885-1947</w:t>
      </w:r>
      <w:r w:rsidRPr="00EA7757">
        <w:rPr>
          <w:rFonts w:ascii="Garamond" w:eastAsia="Times New Roman" w:hAnsi="Garamond" w:cs="Times New Roman"/>
          <w:sz w:val="20"/>
          <w:szCs w:val="20"/>
          <w:lang w:eastAsia="fr-FR"/>
        </w:rPr>
        <w:t xml:space="preserve"> (Oxford, 2007). </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Colin Palmer, </w:t>
      </w:r>
      <w:r w:rsidRPr="00EA7757">
        <w:rPr>
          <w:rFonts w:ascii="Garamond" w:eastAsia="Times New Roman" w:hAnsi="Garamond" w:cs="Times New Roman"/>
          <w:i/>
          <w:iCs/>
          <w:sz w:val="20"/>
          <w:szCs w:val="20"/>
          <w:lang w:eastAsia="fr-FR"/>
        </w:rPr>
        <w:t>The 1938 Labor Rebellion and the Birth of Modern Jamaica</w:t>
      </w:r>
      <w:r w:rsidRPr="00EA7757">
        <w:rPr>
          <w:rFonts w:ascii="Garamond" w:eastAsia="Times New Roman" w:hAnsi="Garamond" w:cs="Times New Roman"/>
          <w:sz w:val="20"/>
          <w:szCs w:val="20"/>
          <w:lang w:eastAsia="fr-FR"/>
        </w:rPr>
        <w:t xml:space="preserve"> (Chapel Hill, 2014).</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Emma Robertson, </w:t>
      </w:r>
      <w:r w:rsidRPr="00EA7757">
        <w:rPr>
          <w:rFonts w:ascii="Garamond" w:eastAsia="Times New Roman" w:hAnsi="Garamond" w:cs="Times New Roman"/>
          <w:i/>
          <w:iCs/>
          <w:sz w:val="20"/>
          <w:szCs w:val="20"/>
          <w:lang w:eastAsia="fr-FR"/>
        </w:rPr>
        <w:t>Chocolate, Women and Empire. A Social and Cultural History</w:t>
      </w:r>
      <w:r w:rsidRPr="00EA7757">
        <w:rPr>
          <w:rFonts w:ascii="Garamond" w:eastAsia="Times New Roman" w:hAnsi="Garamond" w:cs="Times New Roman"/>
          <w:sz w:val="20"/>
          <w:szCs w:val="20"/>
          <w:lang w:eastAsia="fr-FR"/>
        </w:rPr>
        <w:t xml:space="preserve"> (Manchester, 2009).</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Steven Parfitt et al. (eds.), </w:t>
      </w:r>
      <w:r w:rsidRPr="00EA7757">
        <w:rPr>
          <w:rFonts w:ascii="Garamond" w:eastAsia="Times New Roman" w:hAnsi="Garamond" w:cs="Times New Roman"/>
          <w:i/>
          <w:iCs/>
          <w:sz w:val="20"/>
          <w:szCs w:val="20"/>
          <w:lang w:eastAsia="fr-FR"/>
        </w:rPr>
        <w:t>Working-Class Nationalism and Internationalism until 1945: Essays in Global Labour History</w:t>
      </w:r>
      <w:r w:rsidRPr="00EA7757">
        <w:rPr>
          <w:rFonts w:ascii="Garamond" w:eastAsia="Times New Roman" w:hAnsi="Garamond" w:cs="Times New Roman"/>
          <w:sz w:val="20"/>
          <w:szCs w:val="20"/>
          <w:lang w:eastAsia="fr-FR"/>
        </w:rPr>
        <w:t xml:space="preserve"> (Newcastle upon Tyne, 2018).</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Samita Sen, </w:t>
      </w:r>
      <w:r w:rsidRPr="00EA7757">
        <w:rPr>
          <w:rFonts w:ascii="Garamond" w:eastAsia="Times New Roman" w:hAnsi="Garamond" w:cs="Times New Roman"/>
          <w:i/>
          <w:iCs/>
          <w:sz w:val="20"/>
          <w:szCs w:val="20"/>
          <w:lang w:eastAsia="fr-FR"/>
        </w:rPr>
        <w:t>Women and Labour in Late Colonial India. The Bengal Jute Industry</w:t>
      </w:r>
      <w:r w:rsidRPr="00EA7757">
        <w:rPr>
          <w:rFonts w:ascii="Garamond" w:eastAsia="Times New Roman" w:hAnsi="Garamond" w:cs="Times New Roman"/>
          <w:sz w:val="20"/>
          <w:szCs w:val="20"/>
          <w:lang w:eastAsia="fr-FR"/>
        </w:rPr>
        <w:t xml:space="preserve"> (Cambridge, 1999).</w:t>
      </w:r>
    </w:p>
    <w:p w:rsidR="00EA7757" w:rsidRPr="00EA7757" w:rsidRDefault="00EA7757" w:rsidP="00EA7757">
      <w:pPr>
        <w:spacing w:before="57" w:after="0" w:line="240"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bdr w:val="none" w:sz="0" w:space="0" w:color="auto" w:frame="1"/>
          <w:lang w:eastAsia="fr-FR"/>
        </w:rPr>
        <w:t>Carolien Stolte, “Introduction: Trade Union Networks and the Politics of Expertise in an Age of Afro-Asian Solidarity,” </w:t>
      </w:r>
      <w:r w:rsidRPr="00EA7757">
        <w:rPr>
          <w:rFonts w:ascii="Garamond" w:eastAsia="Times New Roman" w:hAnsi="Garamond" w:cs="Times New Roman"/>
          <w:i/>
          <w:iCs/>
          <w:sz w:val="20"/>
          <w:szCs w:val="20"/>
          <w:bdr w:val="none" w:sz="0" w:space="0" w:color="auto" w:frame="1"/>
          <w:lang w:eastAsia="fr-FR"/>
        </w:rPr>
        <w:t>Journal of Social History</w:t>
      </w:r>
      <w:r w:rsidRPr="00EA7757">
        <w:rPr>
          <w:rFonts w:ascii="Garamond" w:eastAsia="Times New Roman" w:hAnsi="Garamond" w:cs="Times New Roman"/>
          <w:sz w:val="20"/>
          <w:szCs w:val="20"/>
          <w:bdr w:val="none" w:sz="0" w:space="0" w:color="auto" w:frame="1"/>
          <w:lang w:eastAsia="fr-FR"/>
        </w:rPr>
        <w:t xml:space="preserve"> 53:2 (2019), 331–347.</w:t>
      </w:r>
    </w:p>
    <w:p w:rsidR="00EA7757" w:rsidRPr="00EA7757" w:rsidRDefault="00EA7757" w:rsidP="00EA7757">
      <w:pPr>
        <w:spacing w:before="57" w:after="0" w:line="276" w:lineRule="auto"/>
        <w:rPr>
          <w:rFonts w:ascii="Times New Roman" w:eastAsia="Times New Roman" w:hAnsi="Times New Roman" w:cs="Times New Roman"/>
          <w:sz w:val="24"/>
          <w:szCs w:val="24"/>
          <w:lang w:eastAsia="fr-FR"/>
        </w:rPr>
      </w:pPr>
      <w:r w:rsidRPr="00EA7757">
        <w:rPr>
          <w:rFonts w:ascii="Garamond" w:eastAsia="Times New Roman" w:hAnsi="Garamond" w:cs="Times New Roman"/>
          <w:sz w:val="20"/>
          <w:szCs w:val="20"/>
          <w:lang w:eastAsia="fr-FR"/>
        </w:rPr>
        <w:t xml:space="preserve">Martin Thomas, </w:t>
      </w:r>
      <w:r w:rsidRPr="00EA7757">
        <w:rPr>
          <w:rFonts w:ascii="Garamond" w:eastAsia="Times New Roman" w:hAnsi="Garamond" w:cs="Times New Roman"/>
          <w:i/>
          <w:iCs/>
          <w:sz w:val="20"/>
          <w:szCs w:val="20"/>
          <w:lang w:eastAsia="fr-FR"/>
        </w:rPr>
        <w:t>Violence and Colonial Order: Police, Workers and Protest in the European Colonial Empires, 1918-1940</w:t>
      </w:r>
      <w:r w:rsidRPr="00EA7757">
        <w:rPr>
          <w:rFonts w:ascii="Garamond" w:eastAsia="Times New Roman" w:hAnsi="Garamond" w:cs="Times New Roman"/>
          <w:sz w:val="20"/>
          <w:szCs w:val="20"/>
          <w:lang w:eastAsia="fr-FR"/>
        </w:rPr>
        <w:t xml:space="preserve"> (Cambridge, 2012).</w:t>
      </w:r>
    </w:p>
    <w:p w:rsidR="00EA7757" w:rsidRPr="00EA7757" w:rsidRDefault="00EA7757" w:rsidP="00EA7757">
      <w:pPr>
        <w:spacing w:after="0" w:line="240" w:lineRule="auto"/>
        <w:rPr>
          <w:rFonts w:ascii="Times New Roman" w:eastAsia="Times New Roman" w:hAnsi="Times New Roman" w:cs="Times New Roman"/>
          <w:sz w:val="24"/>
          <w:szCs w:val="24"/>
          <w:lang w:eastAsia="fr-FR"/>
        </w:rPr>
      </w:pPr>
    </w:p>
    <w:p w:rsidR="00EA7757" w:rsidRPr="00EA7757" w:rsidRDefault="00EA7757" w:rsidP="00EA7757">
      <w:pPr>
        <w:spacing w:after="0" w:line="240" w:lineRule="auto"/>
        <w:rPr>
          <w:rFonts w:ascii="Times New Roman" w:eastAsia="Times New Roman" w:hAnsi="Times New Roman" w:cs="Times New Roman"/>
          <w:sz w:val="24"/>
          <w:szCs w:val="24"/>
          <w:lang w:eastAsia="fr-FR"/>
        </w:rPr>
      </w:pPr>
    </w:p>
    <w:p w:rsidR="006D4689" w:rsidRDefault="00EA7757">
      <w:bookmarkStart w:id="0" w:name="_GoBack"/>
      <w:bookmarkEnd w:id="0"/>
    </w:p>
    <w:sectPr w:rsidR="006D46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7E70"/>
    <w:multiLevelType w:val="multilevel"/>
    <w:tmpl w:val="B16A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57"/>
    <w:rsid w:val="001F613F"/>
    <w:rsid w:val="00662166"/>
    <w:rsid w:val="00EA7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07C22-9D67-4CA3-91FC-466A2E82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dpbd0a0b9fwestern">
    <w:name w:val="ydpbd0a0b9fwestern"/>
    <w:basedOn w:val="Normal"/>
    <w:rsid w:val="00EA77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A77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A7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271824">
      <w:bodyDiv w:val="1"/>
      <w:marLeft w:val="0"/>
      <w:marRight w:val="0"/>
      <w:marTop w:val="0"/>
      <w:marBottom w:val="0"/>
      <w:divBdr>
        <w:top w:val="none" w:sz="0" w:space="0" w:color="auto"/>
        <w:left w:val="none" w:sz="0" w:space="0" w:color="auto"/>
        <w:bottom w:val="none" w:sz="0" w:space="0" w:color="auto"/>
        <w:right w:val="none" w:sz="0" w:space="0" w:color="auto"/>
      </w:divBdr>
      <w:divsChild>
        <w:div w:id="904755216">
          <w:marLeft w:val="0"/>
          <w:marRight w:val="0"/>
          <w:marTop w:val="0"/>
          <w:marBottom w:val="0"/>
          <w:divBdr>
            <w:top w:val="none" w:sz="0" w:space="0" w:color="auto"/>
            <w:left w:val="none" w:sz="0" w:space="0" w:color="auto"/>
            <w:bottom w:val="none" w:sz="0" w:space="0" w:color="auto"/>
            <w:right w:val="none" w:sz="0" w:space="0" w:color="auto"/>
          </w:divBdr>
          <w:divsChild>
            <w:div w:id="1893224248">
              <w:marLeft w:val="0"/>
              <w:marRight w:val="0"/>
              <w:marTop w:val="0"/>
              <w:marBottom w:val="0"/>
              <w:divBdr>
                <w:top w:val="none" w:sz="0" w:space="0" w:color="auto"/>
                <w:left w:val="none" w:sz="0" w:space="0" w:color="auto"/>
                <w:bottom w:val="none" w:sz="0" w:space="0" w:color="auto"/>
                <w:right w:val="none" w:sz="0" w:space="0" w:color="auto"/>
              </w:divBdr>
            </w:div>
          </w:divsChild>
        </w:div>
        <w:div w:id="730619713">
          <w:marLeft w:val="0"/>
          <w:marRight w:val="0"/>
          <w:marTop w:val="0"/>
          <w:marBottom w:val="0"/>
          <w:divBdr>
            <w:top w:val="none" w:sz="0" w:space="0" w:color="auto"/>
            <w:left w:val="none" w:sz="0" w:space="0" w:color="auto"/>
            <w:bottom w:val="none" w:sz="0" w:space="0" w:color="auto"/>
            <w:right w:val="none" w:sz="0" w:space="0" w:color="auto"/>
          </w:divBdr>
        </w:div>
        <w:div w:id="171318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cialhistoryportal.org/elhn/wg-empir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Armao</dc:creator>
  <cp:keywords/>
  <dc:description/>
  <cp:lastModifiedBy>Frederic Armao</cp:lastModifiedBy>
  <cp:revision>1</cp:revision>
  <dcterms:created xsi:type="dcterms:W3CDTF">2022-11-18T08:19:00Z</dcterms:created>
  <dcterms:modified xsi:type="dcterms:W3CDTF">2022-11-18T08:20:00Z</dcterms:modified>
</cp:coreProperties>
</file>