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066" w:rsidRPr="00637066" w:rsidRDefault="00637066" w:rsidP="00637066">
      <w:pPr>
        <w:spacing w:before="100" w:beforeAutospacing="1" w:after="100" w:afterAutospacing="1" w:line="240" w:lineRule="auto"/>
        <w:rPr>
          <w:rFonts w:ascii="Times New Roman" w:eastAsia="Times New Roman" w:hAnsi="Times New Roman" w:cs="Times New Roman"/>
          <w:sz w:val="24"/>
          <w:szCs w:val="24"/>
          <w:lang w:eastAsia="fr-FR"/>
        </w:rPr>
      </w:pPr>
      <w:r w:rsidRPr="00637066">
        <w:rPr>
          <w:rFonts w:ascii="Times New Roman" w:eastAsia="Times New Roman" w:hAnsi="Times New Roman" w:cs="Times New Roman"/>
          <w:b/>
          <w:bCs/>
          <w:sz w:val="24"/>
          <w:szCs w:val="24"/>
          <w:lang w:val="en-IE" w:eastAsia="fr-FR"/>
        </w:rPr>
        <w:t>Call for papers</w:t>
      </w:r>
      <w:r w:rsidRPr="00637066">
        <w:rPr>
          <w:rFonts w:ascii="Times New Roman" w:eastAsia="Times New Roman" w:hAnsi="Times New Roman" w:cs="Times New Roman"/>
          <w:sz w:val="24"/>
          <w:szCs w:val="24"/>
          <w:lang w:val="en-IE" w:eastAsia="fr-FR"/>
        </w:rPr>
        <w:br/>
      </w:r>
      <w:r w:rsidRPr="00637066">
        <w:rPr>
          <w:rFonts w:ascii="Times New Roman" w:eastAsia="Times New Roman" w:hAnsi="Times New Roman" w:cs="Times New Roman"/>
          <w:b/>
          <w:bCs/>
          <w:sz w:val="24"/>
          <w:szCs w:val="24"/>
          <w:lang w:val="en-IE" w:eastAsia="fr-FR"/>
        </w:rPr>
        <w:t>A series of international workshops</w:t>
      </w:r>
      <w:r w:rsidRPr="00637066">
        <w:rPr>
          <w:rFonts w:ascii="Times New Roman" w:eastAsia="Times New Roman" w:hAnsi="Times New Roman" w:cs="Times New Roman"/>
          <w:b/>
          <w:bCs/>
          <w:sz w:val="24"/>
          <w:szCs w:val="24"/>
          <w:lang w:val="en-IE" w:eastAsia="fr-FR"/>
        </w:rPr>
        <w:br/>
      </w:r>
      <w:r w:rsidRPr="00637066">
        <w:rPr>
          <w:rFonts w:ascii="Times New Roman" w:eastAsia="Times New Roman" w:hAnsi="Times New Roman" w:cs="Times New Roman"/>
          <w:sz w:val="24"/>
          <w:szCs w:val="24"/>
          <w:lang w:val="en-IE" w:eastAsia="fr-FR"/>
        </w:rPr>
        <w:br/>
      </w:r>
      <w:r w:rsidRPr="00637066">
        <w:rPr>
          <w:rFonts w:ascii="Times New Roman" w:eastAsia="Times New Roman" w:hAnsi="Times New Roman" w:cs="Times New Roman"/>
          <w:b/>
          <w:bCs/>
          <w:sz w:val="24"/>
          <w:szCs w:val="24"/>
          <w:lang w:val="en-IE" w:eastAsia="fr-FR"/>
        </w:rPr>
        <w:t>Republicanism in Action in the British Empire and the Commonwealth:</w:t>
      </w:r>
      <w:r w:rsidRPr="00637066">
        <w:rPr>
          <w:rFonts w:ascii="Times New Roman" w:eastAsia="Times New Roman" w:hAnsi="Times New Roman" w:cs="Times New Roman"/>
          <w:sz w:val="24"/>
          <w:szCs w:val="24"/>
          <w:lang w:val="en-IE" w:eastAsia="fr-FR"/>
        </w:rPr>
        <w:br/>
      </w:r>
      <w:r w:rsidRPr="00637066">
        <w:rPr>
          <w:rFonts w:ascii="Times New Roman" w:eastAsia="Times New Roman" w:hAnsi="Times New Roman" w:cs="Times New Roman"/>
          <w:b/>
          <w:bCs/>
          <w:sz w:val="24"/>
          <w:szCs w:val="24"/>
          <w:lang w:val="en-IE" w:eastAsia="fr-FR"/>
        </w:rPr>
        <w:t>Theories, Practices and Exchanges</w:t>
      </w:r>
      <w:r w:rsidRPr="00637066">
        <w:rPr>
          <w:rFonts w:ascii="Times New Roman" w:eastAsia="Times New Roman" w:hAnsi="Times New Roman" w:cs="Times New Roman"/>
          <w:sz w:val="24"/>
          <w:szCs w:val="24"/>
          <w:lang w:val="en-IE" w:eastAsia="fr-FR"/>
        </w:rPr>
        <w:br/>
      </w:r>
      <w:r w:rsidRPr="00637066">
        <w:rPr>
          <w:rFonts w:ascii="Times New Roman" w:eastAsia="Times New Roman" w:hAnsi="Times New Roman" w:cs="Times New Roman"/>
          <w:sz w:val="24"/>
          <w:szCs w:val="24"/>
          <w:lang w:val="en-IE" w:eastAsia="fr-FR"/>
        </w:rPr>
        <w:br/>
      </w:r>
      <w:r w:rsidRPr="00637066">
        <w:rPr>
          <w:rFonts w:ascii="Times New Roman" w:eastAsia="Times New Roman" w:hAnsi="Times New Roman" w:cs="Times New Roman"/>
          <w:b/>
          <w:bCs/>
          <w:sz w:val="24"/>
          <w:szCs w:val="24"/>
          <w:lang w:val="en-IE" w:eastAsia="fr-FR"/>
        </w:rPr>
        <w:t>Description of the project: general scope and perspectives</w:t>
      </w:r>
      <w:r w:rsidRPr="00637066">
        <w:rPr>
          <w:rFonts w:ascii="Times New Roman" w:eastAsia="Times New Roman" w:hAnsi="Times New Roman" w:cs="Times New Roman"/>
          <w:sz w:val="24"/>
          <w:szCs w:val="24"/>
          <w:lang w:val="en-IE" w:eastAsia="fr-FR"/>
        </w:rPr>
        <w:br/>
      </w:r>
      <w:r w:rsidRPr="00637066">
        <w:rPr>
          <w:rFonts w:ascii="Times New Roman" w:eastAsia="Times New Roman" w:hAnsi="Times New Roman" w:cs="Times New Roman"/>
          <w:sz w:val="24"/>
          <w:szCs w:val="24"/>
          <w:lang w:val="en-IE" w:eastAsia="fr-FR"/>
        </w:rPr>
        <w:br/>
        <w:t>This series of workshops in Paris and London aims to explore republicanism in the British Empire and Commonwealth and how it has fueled aspirations to independence and played a part in the nation-building process from the American Revolution onward. Scholars have previously theorised the emergence in the early modern era of a republican conception of liberty defined as “non-domination” (Pettit, 1997, Skinner 1998, Kriegel 1998) and distinct from the liberal conception of liberty. Some major studies have evidenced its circulation in the transatlantic space (Pocock 1975) and on the European continent (Skinner and Van Gelderen 2002, Hammersley 2010). But while the impact of republican ideas and practices in early modern revolutions - England (1642-60), Corsica (1729-69), Northern America (1776-1787), France (1789-99), Brabant (1789-90), Haiti (1791-1804) and Latin America (1808-33) - has been widely explored, their manifestations within the British Empire and the Commonwealth </w:t>
      </w:r>
      <w:r w:rsidRPr="00637066">
        <w:rPr>
          <w:rFonts w:ascii="Times New Roman" w:eastAsia="Times New Roman" w:hAnsi="Times New Roman" w:cs="Times New Roman"/>
          <w:i/>
          <w:iCs/>
          <w:sz w:val="24"/>
          <w:szCs w:val="24"/>
          <w:lang w:val="en-IE" w:eastAsia="fr-FR"/>
        </w:rPr>
        <w:t>beyond</w:t>
      </w:r>
      <w:r w:rsidRPr="00637066">
        <w:rPr>
          <w:rFonts w:ascii="Times New Roman" w:eastAsia="Times New Roman" w:hAnsi="Times New Roman" w:cs="Times New Roman"/>
          <w:sz w:val="24"/>
          <w:szCs w:val="24"/>
          <w:lang w:val="en-IE" w:eastAsia="fr-FR"/>
        </w:rPr>
        <w:t> the transatlantic space has only just begun to receive attention in a new generation of scholarship (Getachew 2019, Hamilton 2014, Ramgotra 2017, Hazareesingh 2020).</w:t>
      </w:r>
      <w:r w:rsidRPr="00637066">
        <w:rPr>
          <w:rFonts w:ascii="Times New Roman" w:eastAsia="Times New Roman" w:hAnsi="Times New Roman" w:cs="Times New Roman"/>
          <w:sz w:val="24"/>
          <w:szCs w:val="24"/>
          <w:lang w:val="en-IE" w:eastAsia="fr-FR"/>
        </w:rPr>
        <w:br/>
      </w:r>
      <w:r w:rsidRPr="00637066">
        <w:rPr>
          <w:rFonts w:ascii="Times New Roman" w:eastAsia="Times New Roman" w:hAnsi="Times New Roman" w:cs="Times New Roman"/>
          <w:sz w:val="24"/>
          <w:szCs w:val="24"/>
          <w:lang w:val="en-IE" w:eastAsia="fr-FR"/>
        </w:rPr>
        <w:br/>
        <w:t>We seek to examine how the concept and language of republican liberty have informed anti-colonial movements, and how the notions of self-determination, popular sovereignty, civic participation translated into various languages and cultures. Another possible angle would be to study propositions for land reform aiming at a more equal distribution of goods within what is conceived as a common-wealth. We are therefore interested in the analysis of various republican corpuses, their sources and reception, as well as the study of intellectual and political networks which favoured the circulation of such principles from one part of the Empire and the Commonwealth to the next.</w:t>
      </w:r>
      <w:r w:rsidRPr="00637066">
        <w:rPr>
          <w:rFonts w:ascii="Times New Roman" w:eastAsia="Times New Roman" w:hAnsi="Times New Roman" w:cs="Times New Roman"/>
          <w:sz w:val="24"/>
          <w:szCs w:val="24"/>
          <w:lang w:val="en-IE" w:eastAsia="fr-FR"/>
        </w:rPr>
        <w:br/>
      </w:r>
      <w:r w:rsidRPr="00637066">
        <w:rPr>
          <w:rFonts w:ascii="Times New Roman" w:eastAsia="Times New Roman" w:hAnsi="Times New Roman" w:cs="Times New Roman"/>
          <w:sz w:val="24"/>
          <w:szCs w:val="24"/>
          <w:lang w:val="en-IE" w:eastAsia="fr-FR"/>
        </w:rPr>
        <w:br/>
      </w:r>
      <w:r w:rsidRPr="00637066">
        <w:rPr>
          <w:rFonts w:ascii="Times New Roman" w:eastAsia="Times New Roman" w:hAnsi="Times New Roman" w:cs="Times New Roman"/>
          <w:b/>
          <w:bCs/>
          <w:sz w:val="24"/>
          <w:szCs w:val="24"/>
          <w:lang w:val="en-IE" w:eastAsia="fr-FR"/>
        </w:rPr>
        <w:t>Workshop 1: REPUBLICANISM IN THE AGE OF REVOLUTIONS (c.1763–1838)</w:t>
      </w:r>
      <w:r w:rsidRPr="00637066">
        <w:rPr>
          <w:rFonts w:ascii="Times New Roman" w:eastAsia="Times New Roman" w:hAnsi="Times New Roman" w:cs="Times New Roman"/>
          <w:sz w:val="24"/>
          <w:szCs w:val="24"/>
          <w:lang w:val="en-IE" w:eastAsia="fr-FR"/>
        </w:rPr>
        <w:br/>
      </w:r>
      <w:r w:rsidRPr="00637066">
        <w:rPr>
          <w:rFonts w:ascii="Times New Roman" w:eastAsia="Times New Roman" w:hAnsi="Times New Roman" w:cs="Times New Roman"/>
          <w:b/>
          <w:bCs/>
          <w:sz w:val="24"/>
          <w:szCs w:val="24"/>
          <w:lang w:val="en-IE" w:eastAsia="fr-FR"/>
        </w:rPr>
        <w:t>12-13 June 2023, Campus Condorcet, Paris</w:t>
      </w:r>
      <w:r w:rsidRPr="00637066">
        <w:rPr>
          <w:rFonts w:ascii="Times New Roman" w:eastAsia="Times New Roman" w:hAnsi="Times New Roman" w:cs="Times New Roman"/>
          <w:sz w:val="24"/>
          <w:szCs w:val="24"/>
          <w:lang w:val="en-IE" w:eastAsia="fr-FR"/>
        </w:rPr>
        <w:br/>
      </w:r>
      <w:r w:rsidRPr="00637066">
        <w:rPr>
          <w:rFonts w:ascii="Times New Roman" w:eastAsia="Times New Roman" w:hAnsi="Times New Roman" w:cs="Times New Roman"/>
          <w:sz w:val="24"/>
          <w:szCs w:val="24"/>
          <w:lang w:val="en-IE" w:eastAsia="fr-FR"/>
        </w:rPr>
        <w:br/>
        <w:t xml:space="preserve">This is the first in a series of three workshops that aim to explore the circulation of the republican idea within the British Empire from the American Revolution to the present day. </w:t>
      </w:r>
      <w:r w:rsidRPr="00637066">
        <w:rPr>
          <w:rFonts w:ascii="Times New Roman" w:eastAsia="Times New Roman" w:hAnsi="Times New Roman" w:cs="Times New Roman"/>
          <w:sz w:val="24"/>
          <w:szCs w:val="24"/>
          <w:lang w:eastAsia="fr-FR"/>
        </w:rPr>
        <w:t>The workshops will consider questions such as:</w:t>
      </w:r>
    </w:p>
    <w:p w:rsidR="00637066" w:rsidRPr="00637066" w:rsidRDefault="00637066" w:rsidP="00637066">
      <w:pPr>
        <w:numPr>
          <w:ilvl w:val="0"/>
          <w:numId w:val="2"/>
        </w:numPr>
        <w:spacing w:before="100" w:beforeAutospacing="1" w:after="100" w:afterAutospacing="1" w:line="240" w:lineRule="auto"/>
        <w:rPr>
          <w:rFonts w:ascii="Times New Roman" w:eastAsia="Times New Roman" w:hAnsi="Times New Roman" w:cs="Times New Roman"/>
          <w:sz w:val="24"/>
          <w:szCs w:val="24"/>
          <w:lang w:val="en-IE" w:eastAsia="fr-FR"/>
        </w:rPr>
      </w:pPr>
      <w:r w:rsidRPr="00637066">
        <w:rPr>
          <w:rFonts w:ascii="Times New Roman" w:eastAsia="Times New Roman" w:hAnsi="Times New Roman" w:cs="Times New Roman"/>
          <w:sz w:val="24"/>
          <w:szCs w:val="24"/>
          <w:lang w:val="en-IE" w:eastAsia="fr-FR"/>
        </w:rPr>
        <w:t>How have </w:t>
      </w:r>
      <w:r w:rsidRPr="00637066">
        <w:rPr>
          <w:rFonts w:ascii="Times New Roman" w:eastAsia="Times New Roman" w:hAnsi="Times New Roman" w:cs="Times New Roman"/>
          <w:i/>
          <w:iCs/>
          <w:sz w:val="24"/>
          <w:szCs w:val="24"/>
          <w:lang w:val="en-IE" w:eastAsia="fr-FR"/>
        </w:rPr>
        <w:t>theories</w:t>
      </w:r>
      <w:r w:rsidRPr="00637066">
        <w:rPr>
          <w:rFonts w:ascii="Times New Roman" w:eastAsia="Times New Roman" w:hAnsi="Times New Roman" w:cs="Times New Roman"/>
          <w:sz w:val="24"/>
          <w:szCs w:val="24"/>
          <w:lang w:val="en-IE" w:eastAsia="fr-FR"/>
        </w:rPr>
        <w:t> of republicanism emerged, circulated, and evolved in the British empire? How have such theories intersected with ideas of nation, empire, and commonwealth? How has republicanism combined or clashed with other ideas such as federalism, liberalism, socialism, pacifism, and racism?</w:t>
      </w:r>
    </w:p>
    <w:p w:rsidR="00637066" w:rsidRPr="00637066" w:rsidRDefault="00637066" w:rsidP="0063706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37066">
        <w:rPr>
          <w:rFonts w:ascii="Times New Roman" w:eastAsia="Times New Roman" w:hAnsi="Times New Roman" w:cs="Times New Roman"/>
          <w:sz w:val="24"/>
          <w:szCs w:val="24"/>
          <w:lang w:val="en-IE" w:eastAsia="fr-FR"/>
        </w:rPr>
        <w:t>How have </w:t>
      </w:r>
      <w:r w:rsidRPr="00637066">
        <w:rPr>
          <w:rFonts w:ascii="Times New Roman" w:eastAsia="Times New Roman" w:hAnsi="Times New Roman" w:cs="Times New Roman"/>
          <w:i/>
          <w:iCs/>
          <w:sz w:val="24"/>
          <w:szCs w:val="24"/>
          <w:lang w:val="en-IE" w:eastAsia="fr-FR"/>
        </w:rPr>
        <w:t>practices</w:t>
      </w:r>
      <w:r w:rsidRPr="00637066">
        <w:rPr>
          <w:rFonts w:ascii="Times New Roman" w:eastAsia="Times New Roman" w:hAnsi="Times New Roman" w:cs="Times New Roman"/>
          <w:sz w:val="24"/>
          <w:szCs w:val="24"/>
          <w:lang w:val="en-IE" w:eastAsia="fr-FR"/>
        </w:rPr>
        <w:t xml:space="preserve"> of republicanism been employed in the British Empire? How have movements of resistance, independence and decolonisation transformed republicanism? </w:t>
      </w:r>
      <w:r w:rsidRPr="00637066">
        <w:rPr>
          <w:rFonts w:ascii="Times New Roman" w:eastAsia="Times New Roman" w:hAnsi="Times New Roman" w:cs="Times New Roman"/>
          <w:sz w:val="24"/>
          <w:szCs w:val="24"/>
          <w:lang w:eastAsia="fr-FR"/>
        </w:rPr>
        <w:t>How has the republican idea been resisted or avoided?</w:t>
      </w:r>
    </w:p>
    <w:p w:rsidR="00637066" w:rsidRPr="00637066" w:rsidRDefault="00637066" w:rsidP="00637066">
      <w:pPr>
        <w:numPr>
          <w:ilvl w:val="0"/>
          <w:numId w:val="2"/>
        </w:numPr>
        <w:spacing w:before="100" w:beforeAutospacing="1" w:after="100" w:afterAutospacing="1" w:line="240" w:lineRule="auto"/>
        <w:rPr>
          <w:rFonts w:ascii="Times New Roman" w:eastAsia="Times New Roman" w:hAnsi="Times New Roman" w:cs="Times New Roman"/>
          <w:sz w:val="24"/>
          <w:szCs w:val="24"/>
          <w:lang w:val="en-IE" w:eastAsia="fr-FR"/>
        </w:rPr>
      </w:pPr>
      <w:r w:rsidRPr="00637066">
        <w:rPr>
          <w:rFonts w:ascii="Times New Roman" w:eastAsia="Times New Roman" w:hAnsi="Times New Roman" w:cs="Times New Roman"/>
          <w:sz w:val="24"/>
          <w:szCs w:val="24"/>
          <w:lang w:val="en-IE" w:eastAsia="fr-FR"/>
        </w:rPr>
        <w:t>How have such theories and practices been exchanged between men and women within the British Empire? How have republican ideas circulated, diffused, and disseminated? What was the role of institutions such as universities, trade unions, political organisations, masonic lodges, and press organs?</w:t>
      </w:r>
    </w:p>
    <w:p w:rsidR="00637066" w:rsidRPr="00637066" w:rsidRDefault="00637066" w:rsidP="00637066">
      <w:pPr>
        <w:spacing w:before="100" w:beforeAutospacing="1" w:after="100" w:afterAutospacing="1" w:line="240" w:lineRule="auto"/>
        <w:rPr>
          <w:rFonts w:ascii="Times New Roman" w:eastAsia="Times New Roman" w:hAnsi="Times New Roman" w:cs="Times New Roman"/>
          <w:sz w:val="24"/>
          <w:szCs w:val="24"/>
          <w:lang w:val="en-IE" w:eastAsia="fr-FR"/>
        </w:rPr>
      </w:pPr>
      <w:r w:rsidRPr="00637066">
        <w:rPr>
          <w:rFonts w:ascii="Times New Roman" w:eastAsia="Times New Roman" w:hAnsi="Times New Roman" w:cs="Times New Roman"/>
          <w:sz w:val="24"/>
          <w:szCs w:val="24"/>
          <w:lang w:val="en-IE" w:eastAsia="fr-FR"/>
        </w:rPr>
        <w:lastRenderedPageBreak/>
        <w:t>The first workshop will thus explore how republicanism shaped the political discourse of Britain and its empire during the Age of Revolutions, both broadly conceived. We would welcome papers in French or in English that address the following topics and take a diversity of approaches to:</w:t>
      </w:r>
    </w:p>
    <w:p w:rsidR="00637066" w:rsidRPr="00637066" w:rsidRDefault="00637066" w:rsidP="00637066">
      <w:pPr>
        <w:numPr>
          <w:ilvl w:val="0"/>
          <w:numId w:val="3"/>
        </w:numPr>
        <w:spacing w:before="100" w:beforeAutospacing="1" w:after="100" w:afterAutospacing="1" w:line="240" w:lineRule="auto"/>
        <w:rPr>
          <w:rFonts w:ascii="Times New Roman" w:eastAsia="Times New Roman" w:hAnsi="Times New Roman" w:cs="Times New Roman"/>
          <w:sz w:val="24"/>
          <w:szCs w:val="24"/>
          <w:lang w:val="en-IE" w:eastAsia="fr-FR"/>
        </w:rPr>
      </w:pPr>
      <w:r w:rsidRPr="00637066">
        <w:rPr>
          <w:rFonts w:ascii="Times New Roman" w:eastAsia="Times New Roman" w:hAnsi="Times New Roman" w:cs="Times New Roman"/>
          <w:sz w:val="24"/>
          <w:szCs w:val="24"/>
          <w:lang w:val="en-IE" w:eastAsia="fr-FR"/>
        </w:rPr>
        <w:t>The circulation of republican theories in Britain and its empire in the Age of Revolutions, including (but not limited to) Ireland, North America, the Caribbean, South Asia, and South Africa.</w:t>
      </w:r>
    </w:p>
    <w:p w:rsidR="00637066" w:rsidRPr="00637066" w:rsidRDefault="00637066" w:rsidP="00637066">
      <w:pPr>
        <w:numPr>
          <w:ilvl w:val="0"/>
          <w:numId w:val="3"/>
        </w:numPr>
        <w:spacing w:before="100" w:beforeAutospacing="1" w:after="100" w:afterAutospacing="1" w:line="240" w:lineRule="auto"/>
        <w:rPr>
          <w:rFonts w:ascii="Times New Roman" w:eastAsia="Times New Roman" w:hAnsi="Times New Roman" w:cs="Times New Roman"/>
          <w:sz w:val="24"/>
          <w:szCs w:val="24"/>
          <w:lang w:val="en-IE" w:eastAsia="fr-FR"/>
        </w:rPr>
      </w:pPr>
      <w:r w:rsidRPr="00637066">
        <w:rPr>
          <w:rFonts w:ascii="Times New Roman" w:eastAsia="Times New Roman" w:hAnsi="Times New Roman" w:cs="Times New Roman"/>
          <w:sz w:val="24"/>
          <w:szCs w:val="24"/>
          <w:lang w:val="en-IE" w:eastAsia="fr-FR"/>
        </w:rPr>
        <w:t>The influence of anti-colonial movements on conceptions of republicanism in the Age of Revolutions.</w:t>
      </w:r>
    </w:p>
    <w:p w:rsidR="00637066" w:rsidRPr="00637066" w:rsidRDefault="00637066" w:rsidP="00637066">
      <w:pPr>
        <w:numPr>
          <w:ilvl w:val="0"/>
          <w:numId w:val="3"/>
        </w:numPr>
        <w:spacing w:before="100" w:beforeAutospacing="1" w:after="100" w:afterAutospacing="1" w:line="240" w:lineRule="auto"/>
        <w:rPr>
          <w:rFonts w:ascii="Times New Roman" w:eastAsia="Times New Roman" w:hAnsi="Times New Roman" w:cs="Times New Roman"/>
          <w:sz w:val="24"/>
          <w:szCs w:val="24"/>
          <w:lang w:val="en-IE" w:eastAsia="fr-FR"/>
        </w:rPr>
      </w:pPr>
      <w:r w:rsidRPr="00637066">
        <w:rPr>
          <w:rFonts w:ascii="Times New Roman" w:eastAsia="Times New Roman" w:hAnsi="Times New Roman" w:cs="Times New Roman"/>
          <w:sz w:val="24"/>
          <w:szCs w:val="24"/>
          <w:lang w:val="en-IE" w:eastAsia="fr-FR"/>
        </w:rPr>
        <w:t>The exchange of republican theories and ideas, and their circulation through institutions such as universities, trade unions, political organizations, masonic lodges, and the press.</w:t>
      </w:r>
    </w:p>
    <w:p w:rsidR="00637066" w:rsidRPr="00637066" w:rsidRDefault="00637066" w:rsidP="00637066">
      <w:pPr>
        <w:spacing w:before="100" w:beforeAutospacing="1" w:after="240" w:line="240" w:lineRule="auto"/>
        <w:rPr>
          <w:rFonts w:ascii="Times New Roman" w:eastAsia="Times New Roman" w:hAnsi="Times New Roman" w:cs="Times New Roman"/>
          <w:sz w:val="24"/>
          <w:szCs w:val="24"/>
          <w:lang w:val="en-IE" w:eastAsia="fr-FR"/>
        </w:rPr>
      </w:pPr>
      <w:r w:rsidRPr="00637066">
        <w:rPr>
          <w:rFonts w:ascii="Times New Roman" w:eastAsia="Times New Roman" w:hAnsi="Times New Roman" w:cs="Times New Roman"/>
          <w:b/>
          <w:bCs/>
          <w:sz w:val="24"/>
          <w:szCs w:val="24"/>
          <w:lang w:val="en-IE" w:eastAsia="fr-FR"/>
        </w:rPr>
        <w:t>Please submit a 250-word abstract and a short CV to </w:t>
      </w:r>
      <w:hyperlink r:id="rId5" w:history="1">
        <w:r w:rsidRPr="00637066">
          <w:rPr>
            <w:rFonts w:ascii="Times New Roman" w:eastAsia="Times New Roman" w:hAnsi="Times New Roman" w:cs="Times New Roman"/>
            <w:b/>
            <w:bCs/>
            <w:color w:val="0000FF"/>
            <w:sz w:val="24"/>
            <w:szCs w:val="24"/>
            <w:u w:val="single"/>
            <w:lang w:val="en-IE" w:eastAsia="fr-FR"/>
          </w:rPr>
          <w:t>republicanisminaction@gmail.com</w:t>
        </w:r>
      </w:hyperlink>
      <w:r w:rsidRPr="00637066">
        <w:rPr>
          <w:rFonts w:ascii="Times New Roman" w:eastAsia="Times New Roman" w:hAnsi="Times New Roman" w:cs="Times New Roman"/>
          <w:sz w:val="24"/>
          <w:szCs w:val="24"/>
          <w:lang w:val="en-IE" w:eastAsia="fr-FR"/>
        </w:rPr>
        <w:br/>
      </w:r>
      <w:r w:rsidRPr="00637066">
        <w:rPr>
          <w:rFonts w:ascii="Times New Roman" w:eastAsia="Times New Roman" w:hAnsi="Times New Roman" w:cs="Times New Roman"/>
          <w:b/>
          <w:bCs/>
          <w:sz w:val="24"/>
          <w:szCs w:val="24"/>
          <w:lang w:val="en-IE" w:eastAsia="fr-FR"/>
        </w:rPr>
        <w:t>by 31 January 2023.</w:t>
      </w:r>
      <w:r w:rsidRPr="00637066">
        <w:rPr>
          <w:rFonts w:ascii="Times New Roman" w:eastAsia="Times New Roman" w:hAnsi="Times New Roman" w:cs="Times New Roman"/>
          <w:sz w:val="24"/>
          <w:szCs w:val="24"/>
          <w:lang w:val="en-IE" w:eastAsia="fr-FR"/>
        </w:rPr>
        <w:br/>
      </w:r>
      <w:r w:rsidRPr="00637066">
        <w:rPr>
          <w:rFonts w:ascii="Times New Roman" w:eastAsia="Times New Roman" w:hAnsi="Times New Roman" w:cs="Times New Roman"/>
          <w:sz w:val="24"/>
          <w:szCs w:val="24"/>
          <w:lang w:val="en-IE" w:eastAsia="fr-FR"/>
        </w:rPr>
        <w:br/>
      </w:r>
      <w:r w:rsidRPr="00637066">
        <w:rPr>
          <w:rFonts w:ascii="Times New Roman" w:eastAsia="Times New Roman" w:hAnsi="Times New Roman" w:cs="Times New Roman"/>
          <w:b/>
          <w:bCs/>
          <w:sz w:val="24"/>
          <w:szCs w:val="24"/>
          <w:lang w:val="en-IE" w:eastAsia="fr-FR"/>
        </w:rPr>
        <w:t>Select bibliography</w:t>
      </w:r>
      <w:r w:rsidRPr="00637066">
        <w:rPr>
          <w:rFonts w:ascii="Times New Roman" w:eastAsia="Times New Roman" w:hAnsi="Times New Roman" w:cs="Times New Roman"/>
          <w:sz w:val="24"/>
          <w:szCs w:val="24"/>
          <w:lang w:val="en-IE" w:eastAsia="fr-FR"/>
        </w:rPr>
        <w:br/>
        <w:t>Getachew, Adom, </w:t>
      </w:r>
      <w:r w:rsidRPr="00637066">
        <w:rPr>
          <w:rFonts w:ascii="Times New Roman" w:eastAsia="Times New Roman" w:hAnsi="Times New Roman" w:cs="Times New Roman"/>
          <w:i/>
          <w:iCs/>
          <w:sz w:val="24"/>
          <w:szCs w:val="24"/>
          <w:lang w:val="en-IE" w:eastAsia="fr-FR"/>
        </w:rPr>
        <w:t>Worldmaking After Empire: The Rise and Fall of Self-determination,</w:t>
      </w:r>
      <w:r w:rsidRPr="00637066">
        <w:rPr>
          <w:rFonts w:ascii="Times New Roman" w:eastAsia="Times New Roman" w:hAnsi="Times New Roman" w:cs="Times New Roman"/>
          <w:sz w:val="24"/>
          <w:szCs w:val="24"/>
          <w:lang w:val="en-IE" w:eastAsia="fr-FR"/>
        </w:rPr>
        <w:t> Princeton University Press, 2019.</w:t>
      </w:r>
      <w:r w:rsidRPr="00637066">
        <w:rPr>
          <w:rFonts w:ascii="Times New Roman" w:eastAsia="Times New Roman" w:hAnsi="Times New Roman" w:cs="Times New Roman"/>
          <w:sz w:val="24"/>
          <w:szCs w:val="24"/>
          <w:lang w:val="en-IE" w:eastAsia="fr-FR"/>
        </w:rPr>
        <w:br/>
        <w:t>Getachew, ‘Universalism After the Post-colonial Turn: Interpreting the Haitian Revolution’ </w:t>
      </w:r>
      <w:r w:rsidRPr="00637066">
        <w:rPr>
          <w:rFonts w:ascii="Times New Roman" w:eastAsia="Times New Roman" w:hAnsi="Times New Roman" w:cs="Times New Roman"/>
          <w:i/>
          <w:iCs/>
          <w:sz w:val="24"/>
          <w:szCs w:val="24"/>
          <w:lang w:val="en-IE" w:eastAsia="fr-FR"/>
        </w:rPr>
        <w:t>Political Theory</w:t>
      </w:r>
      <w:r w:rsidRPr="00637066">
        <w:rPr>
          <w:rFonts w:ascii="Times New Roman" w:eastAsia="Times New Roman" w:hAnsi="Times New Roman" w:cs="Times New Roman"/>
          <w:sz w:val="24"/>
          <w:szCs w:val="24"/>
          <w:lang w:val="en-IE" w:eastAsia="fr-FR"/>
        </w:rPr>
        <w:t>, 44:6 (2016), 821-845.</w:t>
      </w:r>
      <w:r w:rsidRPr="00637066">
        <w:rPr>
          <w:rFonts w:ascii="Times New Roman" w:eastAsia="Times New Roman" w:hAnsi="Times New Roman" w:cs="Times New Roman"/>
          <w:sz w:val="24"/>
          <w:szCs w:val="24"/>
          <w:lang w:val="en-IE" w:eastAsia="fr-FR"/>
        </w:rPr>
        <w:br/>
        <w:t>Hazareesingh, Sudhir, </w:t>
      </w:r>
      <w:r w:rsidRPr="00637066">
        <w:rPr>
          <w:rFonts w:ascii="Times New Roman" w:eastAsia="Times New Roman" w:hAnsi="Times New Roman" w:cs="Times New Roman"/>
          <w:i/>
          <w:iCs/>
          <w:sz w:val="24"/>
          <w:szCs w:val="24"/>
          <w:lang w:val="en-IE" w:eastAsia="fr-FR"/>
        </w:rPr>
        <w:t>Toussaint-Louverture,</w:t>
      </w:r>
      <w:r w:rsidRPr="00637066">
        <w:rPr>
          <w:rFonts w:ascii="Times New Roman" w:eastAsia="Times New Roman" w:hAnsi="Times New Roman" w:cs="Times New Roman"/>
          <w:sz w:val="24"/>
          <w:szCs w:val="24"/>
          <w:lang w:val="en-IE" w:eastAsia="fr-FR"/>
        </w:rPr>
        <w:t> Flammarion, 2020.</w:t>
      </w:r>
      <w:r w:rsidRPr="00637066">
        <w:rPr>
          <w:rFonts w:ascii="Times New Roman" w:eastAsia="Times New Roman" w:hAnsi="Times New Roman" w:cs="Times New Roman"/>
          <w:sz w:val="24"/>
          <w:szCs w:val="24"/>
          <w:lang w:val="en-IE" w:eastAsia="fr-FR"/>
        </w:rPr>
        <w:br/>
        <w:t>Kriegel, Blandine, </w:t>
      </w:r>
      <w:r w:rsidRPr="00637066">
        <w:rPr>
          <w:rFonts w:ascii="Times New Roman" w:eastAsia="Times New Roman" w:hAnsi="Times New Roman" w:cs="Times New Roman"/>
          <w:i/>
          <w:iCs/>
          <w:sz w:val="24"/>
          <w:szCs w:val="24"/>
          <w:lang w:val="en-IE" w:eastAsia="fr-FR"/>
        </w:rPr>
        <w:t>Philosophie de la république</w:t>
      </w:r>
      <w:r w:rsidRPr="00637066">
        <w:rPr>
          <w:rFonts w:ascii="Times New Roman" w:eastAsia="Times New Roman" w:hAnsi="Times New Roman" w:cs="Times New Roman"/>
          <w:sz w:val="24"/>
          <w:szCs w:val="24"/>
          <w:lang w:val="en-IE" w:eastAsia="fr-FR"/>
        </w:rPr>
        <w:t>, Plon, 1998.Petit, Philip, </w:t>
      </w:r>
      <w:r w:rsidRPr="00637066">
        <w:rPr>
          <w:rFonts w:ascii="Times New Roman" w:eastAsia="Times New Roman" w:hAnsi="Times New Roman" w:cs="Times New Roman"/>
          <w:i/>
          <w:iCs/>
          <w:sz w:val="24"/>
          <w:szCs w:val="24"/>
          <w:lang w:val="en-IE" w:eastAsia="fr-FR"/>
        </w:rPr>
        <w:t>Republicanism : A theory of Freedom and Government</w:t>
      </w:r>
      <w:r w:rsidRPr="00637066">
        <w:rPr>
          <w:rFonts w:ascii="Times New Roman" w:eastAsia="Times New Roman" w:hAnsi="Times New Roman" w:cs="Times New Roman"/>
          <w:sz w:val="24"/>
          <w:szCs w:val="24"/>
          <w:lang w:val="en-IE" w:eastAsia="fr-FR"/>
        </w:rPr>
        <w:t>, Oxford University Press, 1997.</w:t>
      </w:r>
      <w:r w:rsidRPr="00637066">
        <w:rPr>
          <w:rFonts w:ascii="Times New Roman" w:eastAsia="Times New Roman" w:hAnsi="Times New Roman" w:cs="Times New Roman"/>
          <w:sz w:val="24"/>
          <w:szCs w:val="24"/>
          <w:lang w:val="en-IE" w:eastAsia="fr-FR"/>
        </w:rPr>
        <w:br/>
        <w:t>Pocock, John Greville Agard, </w:t>
      </w:r>
      <w:r w:rsidRPr="00637066">
        <w:rPr>
          <w:rFonts w:ascii="Times New Roman" w:eastAsia="Times New Roman" w:hAnsi="Times New Roman" w:cs="Times New Roman"/>
          <w:i/>
          <w:iCs/>
          <w:sz w:val="24"/>
          <w:szCs w:val="24"/>
          <w:lang w:val="en-IE" w:eastAsia="fr-FR"/>
        </w:rPr>
        <w:t>The Machiavellian Moment. Florentine Political Thought and the Atlantic Republican Tradition</w:t>
      </w:r>
      <w:r w:rsidRPr="00637066">
        <w:rPr>
          <w:rFonts w:ascii="Times New Roman" w:eastAsia="Times New Roman" w:hAnsi="Times New Roman" w:cs="Times New Roman"/>
          <w:sz w:val="24"/>
          <w:szCs w:val="24"/>
          <w:lang w:val="en-IE" w:eastAsia="fr-FR"/>
        </w:rPr>
        <w:t>, Princeton University Press, 1975.</w:t>
      </w:r>
      <w:r w:rsidRPr="00637066">
        <w:rPr>
          <w:rFonts w:ascii="Times New Roman" w:eastAsia="Times New Roman" w:hAnsi="Times New Roman" w:cs="Times New Roman"/>
          <w:sz w:val="24"/>
          <w:szCs w:val="24"/>
          <w:lang w:val="en-IE" w:eastAsia="fr-FR"/>
        </w:rPr>
        <w:br/>
        <w:t>Ramgotra, Manjeet, 'Post-Colonial Republicanism and the Revival of a Paradigm', </w:t>
      </w:r>
      <w:r w:rsidRPr="00637066">
        <w:rPr>
          <w:rFonts w:ascii="Times New Roman" w:eastAsia="Times New Roman" w:hAnsi="Times New Roman" w:cs="Times New Roman"/>
          <w:i/>
          <w:iCs/>
          <w:sz w:val="24"/>
          <w:szCs w:val="24"/>
          <w:lang w:val="en-IE" w:eastAsia="fr-FR"/>
        </w:rPr>
        <w:t>The Good Society</w:t>
      </w:r>
      <w:r w:rsidRPr="00637066">
        <w:rPr>
          <w:rFonts w:ascii="Times New Roman" w:eastAsia="Times New Roman" w:hAnsi="Times New Roman" w:cs="Times New Roman"/>
          <w:sz w:val="24"/>
          <w:szCs w:val="24"/>
          <w:lang w:val="en-IE" w:eastAsia="fr-FR"/>
        </w:rPr>
        <w:t>, 26 (1), 2018, 34-54.</w:t>
      </w:r>
      <w:r w:rsidRPr="00637066">
        <w:rPr>
          <w:rFonts w:ascii="Times New Roman" w:eastAsia="Times New Roman" w:hAnsi="Times New Roman" w:cs="Times New Roman"/>
          <w:sz w:val="24"/>
          <w:szCs w:val="24"/>
          <w:lang w:val="en-IE" w:eastAsia="fr-FR"/>
        </w:rPr>
        <w:br/>
        <w:t>Ramgotra, Manjeet, 'India’s Republican Moment: Freedom in Nehru’s Political Thought.' In: Bhatia, Udit, (ed.), </w:t>
      </w:r>
      <w:r w:rsidRPr="00637066">
        <w:rPr>
          <w:rFonts w:ascii="Times New Roman" w:eastAsia="Times New Roman" w:hAnsi="Times New Roman" w:cs="Times New Roman"/>
          <w:i/>
          <w:iCs/>
          <w:sz w:val="24"/>
          <w:szCs w:val="24"/>
          <w:lang w:val="en-IE" w:eastAsia="fr-FR"/>
        </w:rPr>
        <w:t>The Indian Constituent Assembly: Deliberations on Democracy,</w:t>
      </w:r>
      <w:r w:rsidRPr="00637066">
        <w:rPr>
          <w:rFonts w:ascii="Times New Roman" w:eastAsia="Times New Roman" w:hAnsi="Times New Roman" w:cs="Times New Roman"/>
          <w:sz w:val="24"/>
          <w:szCs w:val="24"/>
          <w:lang w:val="en-IE" w:eastAsia="fr-FR"/>
        </w:rPr>
        <w:t> Routledge India, 2017, 196-221.</w:t>
      </w:r>
      <w:r w:rsidRPr="00637066">
        <w:rPr>
          <w:rFonts w:ascii="Times New Roman" w:eastAsia="Times New Roman" w:hAnsi="Times New Roman" w:cs="Times New Roman"/>
          <w:sz w:val="24"/>
          <w:szCs w:val="24"/>
          <w:lang w:val="en-IE" w:eastAsia="fr-FR"/>
        </w:rPr>
        <w:br/>
        <w:t>Skinner, Quentin, </w:t>
      </w:r>
      <w:r w:rsidRPr="00637066">
        <w:rPr>
          <w:rFonts w:ascii="Times New Roman" w:eastAsia="Times New Roman" w:hAnsi="Times New Roman" w:cs="Times New Roman"/>
          <w:i/>
          <w:iCs/>
          <w:sz w:val="24"/>
          <w:szCs w:val="24"/>
          <w:lang w:val="en-IE" w:eastAsia="fr-FR"/>
        </w:rPr>
        <w:t>Liberty before Liberalism</w:t>
      </w:r>
      <w:r w:rsidRPr="00637066">
        <w:rPr>
          <w:rFonts w:ascii="Times New Roman" w:eastAsia="Times New Roman" w:hAnsi="Times New Roman" w:cs="Times New Roman"/>
          <w:sz w:val="24"/>
          <w:szCs w:val="24"/>
          <w:lang w:val="en-IE" w:eastAsia="fr-FR"/>
        </w:rPr>
        <w:t>, Cambridge University Press, 1998.</w:t>
      </w:r>
      <w:r w:rsidRPr="00637066">
        <w:rPr>
          <w:rFonts w:ascii="Times New Roman" w:eastAsia="Times New Roman" w:hAnsi="Times New Roman" w:cs="Times New Roman"/>
          <w:sz w:val="24"/>
          <w:szCs w:val="24"/>
          <w:lang w:val="en-IE" w:eastAsia="fr-FR"/>
        </w:rPr>
        <w:br/>
        <w:t>Skinner, Quentin, Van Gelderen, Martin, </w:t>
      </w:r>
      <w:r w:rsidRPr="00637066">
        <w:rPr>
          <w:rFonts w:ascii="Times New Roman" w:eastAsia="Times New Roman" w:hAnsi="Times New Roman" w:cs="Times New Roman"/>
          <w:i/>
          <w:iCs/>
          <w:sz w:val="24"/>
          <w:szCs w:val="24"/>
          <w:lang w:val="en-IE" w:eastAsia="fr-FR"/>
        </w:rPr>
        <w:t>Republicanism. A Shared European Heritage</w:t>
      </w:r>
      <w:r w:rsidRPr="00637066">
        <w:rPr>
          <w:rFonts w:ascii="Times New Roman" w:eastAsia="Times New Roman" w:hAnsi="Times New Roman" w:cs="Times New Roman"/>
          <w:sz w:val="24"/>
          <w:szCs w:val="24"/>
          <w:lang w:val="en-IE" w:eastAsia="fr-FR"/>
        </w:rPr>
        <w:t>, Cambridge University Press, 2002, 2 vols.</w:t>
      </w:r>
      <w:r w:rsidRPr="00637066">
        <w:rPr>
          <w:rFonts w:ascii="Times New Roman" w:eastAsia="Times New Roman" w:hAnsi="Times New Roman" w:cs="Times New Roman"/>
          <w:sz w:val="24"/>
          <w:szCs w:val="24"/>
          <w:lang w:val="en-IE" w:eastAsia="fr-FR"/>
        </w:rPr>
        <w:br/>
        <w:t>Vajpeyi, Ananya, </w:t>
      </w:r>
      <w:r w:rsidRPr="00637066">
        <w:rPr>
          <w:rFonts w:ascii="Times New Roman" w:eastAsia="Times New Roman" w:hAnsi="Times New Roman" w:cs="Times New Roman"/>
          <w:i/>
          <w:iCs/>
          <w:sz w:val="24"/>
          <w:szCs w:val="24"/>
          <w:lang w:val="en-IE" w:eastAsia="fr-FR"/>
        </w:rPr>
        <w:t>Righteous Republic. The Political Foundations of Modern India</w:t>
      </w:r>
      <w:r w:rsidRPr="00637066">
        <w:rPr>
          <w:rFonts w:ascii="Times New Roman" w:eastAsia="Times New Roman" w:hAnsi="Times New Roman" w:cs="Times New Roman"/>
          <w:sz w:val="24"/>
          <w:szCs w:val="24"/>
          <w:lang w:val="en-IE" w:eastAsia="fr-FR"/>
        </w:rPr>
        <w:t>, Harvard University Press, 2012.</w:t>
      </w:r>
    </w:p>
    <w:p w:rsidR="00637066" w:rsidRPr="00637066" w:rsidRDefault="00637066" w:rsidP="00637066">
      <w:pPr>
        <w:spacing w:after="0" w:line="240" w:lineRule="auto"/>
        <w:rPr>
          <w:rFonts w:ascii="Times New Roman" w:eastAsia="Times New Roman" w:hAnsi="Times New Roman" w:cs="Times New Roman"/>
          <w:sz w:val="24"/>
          <w:szCs w:val="24"/>
          <w:lang w:val="en-IE" w:eastAsia="fr-FR"/>
        </w:rPr>
      </w:pPr>
      <w:r w:rsidRPr="00637066">
        <w:rPr>
          <w:rFonts w:ascii="Times New Roman" w:eastAsia="Times New Roman" w:hAnsi="Times New Roman" w:cs="Times New Roman"/>
          <w:sz w:val="24"/>
          <w:szCs w:val="24"/>
          <w:lang w:val="en-IE" w:eastAsia="fr-FR"/>
        </w:rPr>
        <w:t xml:space="preserve">-- </w:t>
      </w:r>
    </w:p>
    <w:p w:rsidR="00637066" w:rsidRPr="00637066" w:rsidRDefault="00637066" w:rsidP="0063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IE" w:eastAsia="fr-FR"/>
        </w:rPr>
      </w:pPr>
      <w:r w:rsidRPr="00637066">
        <w:rPr>
          <w:rFonts w:ascii="Book Antiqua" w:eastAsia="Times New Roman" w:hAnsi="Book Antiqua" w:cs="Courier New"/>
          <w:b/>
          <w:bCs/>
          <w:sz w:val="24"/>
          <w:szCs w:val="24"/>
          <w:lang w:val="en-IE" w:eastAsia="fr-FR"/>
        </w:rPr>
        <w:t>Myriam-Isabelle Ducrocq</w:t>
      </w:r>
      <w:r w:rsidRPr="00637066">
        <w:rPr>
          <w:rFonts w:ascii="Book Antiqua" w:eastAsia="Times New Roman" w:hAnsi="Book Antiqua" w:cs="Courier New"/>
          <w:sz w:val="24"/>
          <w:szCs w:val="24"/>
          <w:lang w:val="en-IE" w:eastAsia="fr-FR"/>
        </w:rPr>
        <w:br/>
        <w:t>Maître de conférences HDR en civilisation britannique/</w:t>
      </w:r>
      <w:r w:rsidRPr="00637066">
        <w:rPr>
          <w:rFonts w:ascii="Book Antiqua" w:eastAsia="Times New Roman" w:hAnsi="Book Antiqua" w:cs="Courier New"/>
          <w:i/>
          <w:iCs/>
          <w:sz w:val="24"/>
          <w:szCs w:val="24"/>
          <w:lang w:val="en-IE" w:eastAsia="fr-FR"/>
        </w:rPr>
        <w:t>Senior Lecturer in British History</w:t>
      </w:r>
      <w:r w:rsidRPr="00637066">
        <w:rPr>
          <w:rFonts w:ascii="Book Antiqua" w:eastAsia="Times New Roman" w:hAnsi="Book Antiqua" w:cs="Courier New"/>
          <w:i/>
          <w:iCs/>
          <w:sz w:val="24"/>
          <w:szCs w:val="24"/>
          <w:lang w:val="en-IE" w:eastAsia="fr-FR"/>
        </w:rPr>
        <w:br/>
      </w:r>
      <w:r w:rsidRPr="00637066">
        <w:rPr>
          <w:rFonts w:ascii="Book Antiqua" w:eastAsia="Times New Roman" w:hAnsi="Book Antiqua" w:cs="Courier New"/>
          <w:sz w:val="24"/>
          <w:szCs w:val="24"/>
          <w:lang w:val="en-IE" w:eastAsia="fr-FR"/>
        </w:rPr>
        <w:t>Directrice du Master de Traduction Economique et Juridique/</w:t>
      </w:r>
      <w:r w:rsidRPr="00637066">
        <w:rPr>
          <w:rFonts w:ascii="Book Antiqua" w:eastAsia="Times New Roman" w:hAnsi="Book Antiqua" w:cs="Courier New"/>
          <w:i/>
          <w:iCs/>
          <w:sz w:val="24"/>
          <w:szCs w:val="24"/>
          <w:lang w:val="en-IE" w:eastAsia="fr-FR"/>
        </w:rPr>
        <w:t>Head of the Master's degree in Economic and Legal Translation</w:t>
      </w:r>
      <w:r w:rsidRPr="00637066">
        <w:rPr>
          <w:rFonts w:ascii="Book Antiqua" w:eastAsia="Times New Roman" w:hAnsi="Book Antiqua" w:cs="Courier New"/>
          <w:sz w:val="24"/>
          <w:szCs w:val="24"/>
          <w:lang w:val="en-IE" w:eastAsia="fr-FR"/>
        </w:rPr>
        <w:br/>
        <w:t xml:space="preserve">Responsable des recensions de la revue </w:t>
      </w:r>
      <w:r w:rsidRPr="00637066">
        <w:rPr>
          <w:rFonts w:ascii="Book Antiqua" w:eastAsia="Times New Roman" w:hAnsi="Book Antiqua" w:cs="Courier New"/>
          <w:i/>
          <w:iCs/>
          <w:sz w:val="24"/>
          <w:szCs w:val="24"/>
          <w:lang w:val="en-IE" w:eastAsia="fr-FR"/>
        </w:rPr>
        <w:t>SEAA XVII-XVIII / Head of the review section for the SEAA XVII-XVIII journal</w:t>
      </w:r>
      <w:r w:rsidRPr="00637066">
        <w:rPr>
          <w:rFonts w:ascii="Book Antiqua" w:eastAsia="Times New Roman" w:hAnsi="Book Antiqua" w:cs="Courier New"/>
          <w:i/>
          <w:iCs/>
          <w:sz w:val="24"/>
          <w:szCs w:val="24"/>
          <w:lang w:val="en-IE" w:eastAsia="fr-FR"/>
        </w:rPr>
        <w:br/>
      </w:r>
      <w:hyperlink r:id="rId6" w:history="1">
        <w:r w:rsidRPr="00637066">
          <w:rPr>
            <w:rFonts w:ascii="Book Antiqua" w:eastAsia="Times New Roman" w:hAnsi="Book Antiqua" w:cs="Courier New"/>
            <w:i/>
            <w:iCs/>
            <w:color w:val="0000FF"/>
            <w:sz w:val="24"/>
            <w:szCs w:val="24"/>
            <w:u w:val="single"/>
            <w:lang w:val="en-IE" w:eastAsia="fr-FR"/>
          </w:rPr>
          <w:t>https://journals.openedition.org/1718/</w:t>
        </w:r>
      </w:hyperlink>
      <w:r w:rsidRPr="00637066">
        <w:rPr>
          <w:rFonts w:ascii="Book Antiqua" w:eastAsia="Times New Roman" w:hAnsi="Book Antiqua" w:cs="Courier New"/>
          <w:sz w:val="24"/>
          <w:szCs w:val="24"/>
          <w:lang w:val="en-IE" w:eastAsia="fr-FR"/>
        </w:rPr>
        <w:br/>
      </w:r>
      <w:r w:rsidRPr="00637066">
        <w:rPr>
          <w:rFonts w:ascii="Book Antiqua" w:eastAsia="Times New Roman" w:hAnsi="Book Antiqua" w:cs="Courier New"/>
          <w:sz w:val="24"/>
          <w:szCs w:val="24"/>
          <w:lang w:val="en-IE" w:eastAsia="fr-FR"/>
        </w:rPr>
        <w:br/>
      </w:r>
      <w:r w:rsidRPr="00637066">
        <w:rPr>
          <w:rFonts w:ascii="Book Antiqua" w:eastAsia="Times New Roman" w:hAnsi="Book Antiqua" w:cs="Courier New"/>
          <w:sz w:val="16"/>
          <w:szCs w:val="16"/>
          <w:lang w:val="en-IE" w:eastAsia="fr-FR"/>
        </w:rPr>
        <w:t>Département d'études anglo-américaines - CREA EA370</w:t>
      </w:r>
      <w:r w:rsidRPr="00637066">
        <w:rPr>
          <w:rFonts w:ascii="Book Antiqua" w:eastAsia="Times New Roman" w:hAnsi="Book Antiqua" w:cs="Courier New"/>
          <w:sz w:val="24"/>
          <w:szCs w:val="24"/>
          <w:lang w:val="en-IE" w:eastAsia="fr-FR"/>
        </w:rPr>
        <w:br/>
      </w:r>
      <w:r w:rsidRPr="00637066">
        <w:rPr>
          <w:rFonts w:ascii="Book Antiqua" w:eastAsia="Times New Roman" w:hAnsi="Book Antiqua" w:cs="Courier New"/>
          <w:sz w:val="16"/>
          <w:szCs w:val="16"/>
          <w:lang w:val="en-IE" w:eastAsia="fr-FR"/>
        </w:rPr>
        <w:t>UFR Langues et Cultures Étrangères (LCE)/</w:t>
      </w:r>
      <w:r w:rsidRPr="00637066">
        <w:rPr>
          <w:rFonts w:ascii="Book Antiqua" w:eastAsia="Times New Roman" w:hAnsi="Book Antiqua" w:cs="Courier New"/>
          <w:sz w:val="24"/>
          <w:szCs w:val="24"/>
          <w:lang w:val="en-IE" w:eastAsia="fr-FR"/>
        </w:rPr>
        <w:br/>
      </w:r>
      <w:r w:rsidRPr="00637066">
        <w:rPr>
          <w:rFonts w:ascii="Book Antiqua" w:eastAsia="Times New Roman" w:hAnsi="Book Antiqua" w:cs="Courier New"/>
          <w:sz w:val="16"/>
          <w:szCs w:val="16"/>
          <w:lang w:val="en-IE" w:eastAsia="fr-FR"/>
        </w:rPr>
        <w:t>200 av. de la République - 92001 Nanterre Cedex</w:t>
      </w:r>
      <w:r w:rsidRPr="00637066">
        <w:rPr>
          <w:rFonts w:ascii="Book Antiqua" w:eastAsia="Times New Roman" w:hAnsi="Book Antiqua" w:cs="Courier New"/>
          <w:sz w:val="24"/>
          <w:szCs w:val="24"/>
          <w:lang w:val="en-IE" w:eastAsia="fr-FR"/>
        </w:rPr>
        <w:br/>
      </w:r>
      <w:hyperlink r:id="rId7" w:history="1">
        <w:r w:rsidRPr="00637066">
          <w:rPr>
            <w:rFonts w:ascii="Courier New" w:eastAsia="Times New Roman" w:hAnsi="Courier New" w:cs="Courier New"/>
            <w:color w:val="0000FF"/>
            <w:sz w:val="20"/>
            <w:szCs w:val="20"/>
            <w:u w:val="single"/>
            <w:lang w:val="en-IE" w:eastAsia="fr-FR"/>
          </w:rPr>
          <w:t>https://www.parisnanterre.fr/mme-myriam-isabelle-ducrocq--749098.kjsp</w:t>
        </w:r>
      </w:hyperlink>
    </w:p>
    <w:p w:rsidR="006D4689" w:rsidRPr="00637066" w:rsidRDefault="00637066" w:rsidP="00637066">
      <w:pPr>
        <w:rPr>
          <w:lang w:val="en-IE"/>
        </w:rPr>
      </w:pPr>
      <w:bookmarkStart w:id="0" w:name="_GoBack"/>
      <w:bookmarkEnd w:id="0"/>
    </w:p>
    <w:sectPr w:rsidR="006D4689" w:rsidRPr="00637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3029"/>
    <w:multiLevelType w:val="multilevel"/>
    <w:tmpl w:val="B542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942BF"/>
    <w:multiLevelType w:val="multilevel"/>
    <w:tmpl w:val="D19E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3B2B26"/>
    <w:multiLevelType w:val="multilevel"/>
    <w:tmpl w:val="219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066"/>
    <w:rsid w:val="001F613F"/>
    <w:rsid w:val="00637066"/>
    <w:rsid w:val="006621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35A12-75D3-443E-8908-E91A8C03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dp25159979yiv4945158554ydp3427f707yiv7362974149ydp97a485a9yiv4863146976ydp133fc426yiv8517065906ydpbd0a0b9fwestern">
    <w:name w:val="ydp25159979yiv4945158554ydp3427f707yiv7362974149ydp97a485a9yiv4863146976ydp133fc426yiv8517065906ydpbd0a0b9fwestern"/>
    <w:basedOn w:val="Normal"/>
    <w:rsid w:val="0063706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6370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37066"/>
    <w:rPr>
      <w:color w:val="0000FF"/>
      <w:u w:val="single"/>
    </w:rPr>
  </w:style>
  <w:style w:type="character" w:styleId="lev">
    <w:name w:val="Strong"/>
    <w:basedOn w:val="Policepardfaut"/>
    <w:uiPriority w:val="22"/>
    <w:qFormat/>
    <w:rsid w:val="00637066"/>
    <w:rPr>
      <w:b/>
      <w:bCs/>
    </w:rPr>
  </w:style>
  <w:style w:type="character" w:styleId="Accentuation">
    <w:name w:val="Emphasis"/>
    <w:basedOn w:val="Policepardfaut"/>
    <w:uiPriority w:val="20"/>
    <w:qFormat/>
    <w:rsid w:val="00637066"/>
    <w:rPr>
      <w:i/>
      <w:iCs/>
    </w:rPr>
  </w:style>
  <w:style w:type="paragraph" w:styleId="PrformatHTML">
    <w:name w:val="HTML Preformatted"/>
    <w:basedOn w:val="Normal"/>
    <w:link w:val="PrformatHTMLCar"/>
    <w:uiPriority w:val="99"/>
    <w:semiHidden/>
    <w:unhideWhenUsed/>
    <w:rsid w:val="0063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37066"/>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07074">
      <w:bodyDiv w:val="1"/>
      <w:marLeft w:val="0"/>
      <w:marRight w:val="0"/>
      <w:marTop w:val="0"/>
      <w:marBottom w:val="0"/>
      <w:divBdr>
        <w:top w:val="none" w:sz="0" w:space="0" w:color="auto"/>
        <w:left w:val="none" w:sz="0" w:space="0" w:color="auto"/>
        <w:bottom w:val="none" w:sz="0" w:space="0" w:color="auto"/>
        <w:right w:val="none" w:sz="0" w:space="0" w:color="auto"/>
      </w:divBdr>
      <w:divsChild>
        <w:div w:id="1950702626">
          <w:marLeft w:val="0"/>
          <w:marRight w:val="0"/>
          <w:marTop w:val="0"/>
          <w:marBottom w:val="0"/>
          <w:divBdr>
            <w:top w:val="none" w:sz="0" w:space="0" w:color="auto"/>
            <w:left w:val="none" w:sz="0" w:space="0" w:color="auto"/>
            <w:bottom w:val="none" w:sz="0" w:space="0" w:color="auto"/>
            <w:right w:val="none" w:sz="0" w:space="0" w:color="auto"/>
          </w:divBdr>
        </w:div>
      </w:divsChild>
    </w:div>
    <w:div w:id="840049718">
      <w:bodyDiv w:val="1"/>
      <w:marLeft w:val="0"/>
      <w:marRight w:val="0"/>
      <w:marTop w:val="0"/>
      <w:marBottom w:val="0"/>
      <w:divBdr>
        <w:top w:val="none" w:sz="0" w:space="0" w:color="auto"/>
        <w:left w:val="none" w:sz="0" w:space="0" w:color="auto"/>
        <w:bottom w:val="none" w:sz="0" w:space="0" w:color="auto"/>
        <w:right w:val="none" w:sz="0" w:space="0" w:color="auto"/>
      </w:divBdr>
      <w:divsChild>
        <w:div w:id="1270354575">
          <w:marLeft w:val="0"/>
          <w:marRight w:val="0"/>
          <w:marTop w:val="0"/>
          <w:marBottom w:val="0"/>
          <w:divBdr>
            <w:top w:val="none" w:sz="0" w:space="0" w:color="auto"/>
            <w:left w:val="none" w:sz="0" w:space="0" w:color="auto"/>
            <w:bottom w:val="none" w:sz="0" w:space="0" w:color="auto"/>
            <w:right w:val="none" w:sz="0" w:space="0" w:color="auto"/>
          </w:divBdr>
          <w:divsChild>
            <w:div w:id="995836294">
              <w:marLeft w:val="0"/>
              <w:marRight w:val="0"/>
              <w:marTop w:val="0"/>
              <w:marBottom w:val="0"/>
              <w:divBdr>
                <w:top w:val="none" w:sz="0" w:space="0" w:color="auto"/>
                <w:left w:val="none" w:sz="0" w:space="0" w:color="auto"/>
                <w:bottom w:val="none" w:sz="0" w:space="0" w:color="auto"/>
                <w:right w:val="none" w:sz="0" w:space="0" w:color="auto"/>
              </w:divBdr>
              <w:divsChild>
                <w:div w:id="1190878116">
                  <w:marLeft w:val="0"/>
                  <w:marRight w:val="0"/>
                  <w:marTop w:val="0"/>
                  <w:marBottom w:val="0"/>
                  <w:divBdr>
                    <w:top w:val="none" w:sz="0" w:space="0" w:color="auto"/>
                    <w:left w:val="none" w:sz="0" w:space="0" w:color="auto"/>
                    <w:bottom w:val="none" w:sz="0" w:space="0" w:color="auto"/>
                    <w:right w:val="none" w:sz="0" w:space="0" w:color="auto"/>
                  </w:divBdr>
                  <w:divsChild>
                    <w:div w:id="414398543">
                      <w:marLeft w:val="0"/>
                      <w:marRight w:val="0"/>
                      <w:marTop w:val="0"/>
                      <w:marBottom w:val="0"/>
                      <w:divBdr>
                        <w:top w:val="none" w:sz="0" w:space="0" w:color="auto"/>
                        <w:left w:val="none" w:sz="0" w:space="0" w:color="auto"/>
                        <w:bottom w:val="none" w:sz="0" w:space="0" w:color="auto"/>
                        <w:right w:val="none" w:sz="0" w:space="0" w:color="auto"/>
                      </w:divBdr>
                      <w:divsChild>
                        <w:div w:id="871698097">
                          <w:marLeft w:val="0"/>
                          <w:marRight w:val="0"/>
                          <w:marTop w:val="0"/>
                          <w:marBottom w:val="0"/>
                          <w:divBdr>
                            <w:top w:val="none" w:sz="0" w:space="0" w:color="auto"/>
                            <w:left w:val="none" w:sz="0" w:space="0" w:color="auto"/>
                            <w:bottom w:val="none" w:sz="0" w:space="0" w:color="auto"/>
                            <w:right w:val="none" w:sz="0" w:space="0" w:color="auto"/>
                          </w:divBdr>
                          <w:divsChild>
                            <w:div w:id="1853840582">
                              <w:marLeft w:val="0"/>
                              <w:marRight w:val="0"/>
                              <w:marTop w:val="0"/>
                              <w:marBottom w:val="0"/>
                              <w:divBdr>
                                <w:top w:val="none" w:sz="0" w:space="0" w:color="auto"/>
                                <w:left w:val="none" w:sz="0" w:space="0" w:color="auto"/>
                                <w:bottom w:val="none" w:sz="0" w:space="0" w:color="auto"/>
                                <w:right w:val="none" w:sz="0" w:space="0" w:color="auto"/>
                              </w:divBdr>
                              <w:divsChild>
                                <w:div w:id="1525316659">
                                  <w:marLeft w:val="0"/>
                                  <w:marRight w:val="0"/>
                                  <w:marTop w:val="0"/>
                                  <w:marBottom w:val="0"/>
                                  <w:divBdr>
                                    <w:top w:val="none" w:sz="0" w:space="0" w:color="auto"/>
                                    <w:left w:val="none" w:sz="0" w:space="0" w:color="auto"/>
                                    <w:bottom w:val="none" w:sz="0" w:space="0" w:color="auto"/>
                                    <w:right w:val="none" w:sz="0" w:space="0" w:color="auto"/>
                                  </w:divBdr>
                                  <w:divsChild>
                                    <w:div w:id="525678234">
                                      <w:marLeft w:val="0"/>
                                      <w:marRight w:val="0"/>
                                      <w:marTop w:val="0"/>
                                      <w:marBottom w:val="0"/>
                                      <w:divBdr>
                                        <w:top w:val="none" w:sz="0" w:space="0" w:color="auto"/>
                                        <w:left w:val="none" w:sz="0" w:space="0" w:color="auto"/>
                                        <w:bottom w:val="none" w:sz="0" w:space="0" w:color="auto"/>
                                        <w:right w:val="none" w:sz="0" w:space="0" w:color="auto"/>
                                      </w:divBdr>
                                      <w:divsChild>
                                        <w:div w:id="1058479414">
                                          <w:marLeft w:val="0"/>
                                          <w:marRight w:val="0"/>
                                          <w:marTop w:val="0"/>
                                          <w:marBottom w:val="0"/>
                                          <w:divBdr>
                                            <w:top w:val="none" w:sz="0" w:space="0" w:color="auto"/>
                                            <w:left w:val="none" w:sz="0" w:space="0" w:color="auto"/>
                                            <w:bottom w:val="none" w:sz="0" w:space="0" w:color="auto"/>
                                            <w:right w:val="none" w:sz="0" w:space="0" w:color="auto"/>
                                          </w:divBdr>
                                          <w:divsChild>
                                            <w:div w:id="286619865">
                                              <w:marLeft w:val="0"/>
                                              <w:marRight w:val="0"/>
                                              <w:marTop w:val="0"/>
                                              <w:marBottom w:val="0"/>
                                              <w:divBdr>
                                                <w:top w:val="none" w:sz="0" w:space="0" w:color="auto"/>
                                                <w:left w:val="none" w:sz="0" w:space="0" w:color="auto"/>
                                                <w:bottom w:val="none" w:sz="0" w:space="0" w:color="auto"/>
                                                <w:right w:val="none" w:sz="0" w:space="0" w:color="auto"/>
                                              </w:divBdr>
                                              <w:divsChild>
                                                <w:div w:id="1371882514">
                                                  <w:marLeft w:val="0"/>
                                                  <w:marRight w:val="0"/>
                                                  <w:marTop w:val="0"/>
                                                  <w:marBottom w:val="0"/>
                                                  <w:divBdr>
                                                    <w:top w:val="none" w:sz="0" w:space="0" w:color="auto"/>
                                                    <w:left w:val="none" w:sz="0" w:space="0" w:color="auto"/>
                                                    <w:bottom w:val="none" w:sz="0" w:space="0" w:color="auto"/>
                                                    <w:right w:val="none" w:sz="0" w:space="0" w:color="auto"/>
                                                  </w:divBdr>
                                                  <w:divsChild>
                                                    <w:div w:id="611982073">
                                                      <w:marLeft w:val="0"/>
                                                      <w:marRight w:val="0"/>
                                                      <w:marTop w:val="5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970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risnanterre.fr/mme-myriam-isabelle-ducrocq--749098.k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openedition.org/1718/" TargetMode="External"/><Relationship Id="rId5" Type="http://schemas.openxmlformats.org/officeDocument/2006/relationships/hyperlink" Target="mailto:republicanisminactio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948</Words>
  <Characters>5215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Armao</dc:creator>
  <cp:keywords/>
  <dc:description/>
  <cp:lastModifiedBy>Frederic Armao</cp:lastModifiedBy>
  <cp:revision>1</cp:revision>
  <dcterms:created xsi:type="dcterms:W3CDTF">2022-12-21T13:29:00Z</dcterms:created>
  <dcterms:modified xsi:type="dcterms:W3CDTF">2022-12-21T13:31:00Z</dcterms:modified>
</cp:coreProperties>
</file>